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C6465" w14:textId="77777777" w:rsidR="009326E3" w:rsidRPr="00C13C80" w:rsidRDefault="009326E3" w:rsidP="00AC69C7">
      <w:pPr>
        <w:ind w:firstLine="720"/>
        <w:jc w:val="center"/>
        <w:rPr>
          <w:rFonts w:cstheme="minorHAnsi"/>
          <w:b/>
          <w:sz w:val="24"/>
          <w:szCs w:val="24"/>
        </w:rPr>
      </w:pPr>
      <w:r w:rsidRPr="00C13C80">
        <w:rPr>
          <w:rFonts w:cstheme="minorHAnsi"/>
          <w:b/>
          <w:sz w:val="24"/>
          <w:szCs w:val="24"/>
        </w:rPr>
        <w:t xml:space="preserve">UNC Cancer Hospital/Lineberger Comprehensive Cancer Center </w:t>
      </w:r>
      <w:r w:rsidRPr="00C13C80">
        <w:rPr>
          <w:rFonts w:cstheme="minorHAnsi"/>
          <w:b/>
          <w:sz w:val="24"/>
          <w:szCs w:val="24"/>
        </w:rPr>
        <w:br/>
        <w:t>Leukemia Program Clinical</w:t>
      </w:r>
      <w:r w:rsidR="009C5B23" w:rsidRPr="00C13C80">
        <w:rPr>
          <w:rFonts w:cstheme="minorHAnsi"/>
          <w:b/>
          <w:sz w:val="24"/>
          <w:szCs w:val="24"/>
        </w:rPr>
        <w:t xml:space="preserve"> Guideline</w:t>
      </w:r>
    </w:p>
    <w:p w14:paraId="69D45087" w14:textId="77777777" w:rsidR="009326E3" w:rsidRPr="00C13C80" w:rsidRDefault="009326E3" w:rsidP="009326E3">
      <w:pPr>
        <w:rPr>
          <w:rFonts w:cstheme="minorHAnsi"/>
          <w:sz w:val="24"/>
          <w:szCs w:val="24"/>
        </w:rPr>
      </w:pPr>
      <w:r w:rsidRPr="00C13C80">
        <w:rPr>
          <w:rFonts w:cstheme="minorHAnsi"/>
          <w:b/>
          <w:sz w:val="24"/>
          <w:szCs w:val="24"/>
        </w:rPr>
        <w:t>Topic:</w:t>
      </w:r>
      <w:r w:rsidR="00BE5C80" w:rsidRPr="00C13C80">
        <w:rPr>
          <w:rFonts w:cstheme="minorHAnsi"/>
          <w:b/>
          <w:sz w:val="24"/>
          <w:szCs w:val="24"/>
        </w:rPr>
        <w:t xml:space="preserve"> </w:t>
      </w:r>
      <w:r w:rsidR="00760515" w:rsidRPr="00C13C80">
        <w:rPr>
          <w:rFonts w:cstheme="minorHAnsi"/>
          <w:sz w:val="24"/>
          <w:szCs w:val="24"/>
        </w:rPr>
        <w:t>Guideline for appropriate patient selection, logistics and supportive care for patients with Acute Myeloid Leukemia receiving venetoclax in combination with a hypomethylating agent (HMA) or low dose cytarabine (LDAC)</w:t>
      </w:r>
    </w:p>
    <w:p w14:paraId="3AB15D7A" w14:textId="442009BF" w:rsidR="009C0913" w:rsidRDefault="00324905" w:rsidP="00E0475D">
      <w:pPr>
        <w:rPr>
          <w:rFonts w:cstheme="minorHAnsi"/>
          <w:sz w:val="24"/>
          <w:szCs w:val="24"/>
        </w:rPr>
      </w:pPr>
      <w:r w:rsidRPr="00C13C80">
        <w:rPr>
          <w:rFonts w:cstheme="minorHAnsi"/>
          <w:b/>
          <w:sz w:val="24"/>
          <w:szCs w:val="24"/>
        </w:rPr>
        <w:t xml:space="preserve">Summary/Recommendations: </w:t>
      </w:r>
    </w:p>
    <w:p w14:paraId="687D0CFE" w14:textId="796E0D84" w:rsidR="00093D93" w:rsidRDefault="000935B0" w:rsidP="000935B0">
      <w:pPr>
        <w:jc w:val="center"/>
        <w:rPr>
          <w:rFonts w:cstheme="minorHAnsi"/>
          <w:sz w:val="24"/>
          <w:szCs w:val="24"/>
        </w:rPr>
      </w:pPr>
      <w:r>
        <w:rPr>
          <w:noProof/>
        </w:rPr>
        <w:drawing>
          <wp:anchor distT="0" distB="0" distL="114300" distR="114300" simplePos="0" relativeHeight="251658240" behindDoc="0" locked="0" layoutInCell="1" allowOverlap="1" wp14:anchorId="021100EC" wp14:editId="46342B4E">
            <wp:simplePos x="0" y="0"/>
            <wp:positionH relativeFrom="margin">
              <wp:posOffset>-635</wp:posOffset>
            </wp:positionH>
            <wp:positionV relativeFrom="paragraph">
              <wp:posOffset>4371975</wp:posOffset>
            </wp:positionV>
            <wp:extent cx="6957695" cy="2457450"/>
            <wp:effectExtent l="0" t="0" r="0" b="0"/>
            <wp:wrapThrough wrapText="bothSides">
              <wp:wrapPolygon edited="0">
                <wp:start x="0" y="0"/>
                <wp:lineTo x="0" y="21433"/>
                <wp:lineTo x="21527" y="21433"/>
                <wp:lineTo x="2152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957695" cy="24574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DA24CA4" wp14:editId="0F5EF8FB">
            <wp:extent cx="6181725" cy="424020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8782" cy="4251906"/>
                    </a:xfrm>
                    <a:prstGeom prst="rect">
                      <a:avLst/>
                    </a:prstGeom>
                  </pic:spPr>
                </pic:pic>
              </a:graphicData>
            </a:graphic>
          </wp:inline>
        </w:drawing>
      </w:r>
    </w:p>
    <w:p w14:paraId="0EDA799D" w14:textId="1AB42C68" w:rsidR="009C0913" w:rsidRDefault="00E0475D" w:rsidP="009326E3">
      <w:pPr>
        <w:rPr>
          <w:rFonts w:cstheme="minorHAnsi"/>
          <w:b/>
          <w:sz w:val="24"/>
          <w:szCs w:val="24"/>
        </w:rPr>
      </w:pPr>
      <w:r w:rsidRPr="00C13C80">
        <w:rPr>
          <w:rFonts w:cstheme="minorHAnsi"/>
          <w:b/>
          <w:sz w:val="24"/>
          <w:szCs w:val="24"/>
        </w:rPr>
        <w:lastRenderedPageBreak/>
        <w:t>Background and data summary:</w:t>
      </w:r>
      <w:r w:rsidR="009C5B23" w:rsidRPr="00C13C80">
        <w:rPr>
          <w:rFonts w:cstheme="minorHAnsi"/>
          <w:b/>
          <w:sz w:val="24"/>
          <w:szCs w:val="24"/>
        </w:rPr>
        <w:t xml:space="preserve">  </w:t>
      </w:r>
    </w:p>
    <w:p w14:paraId="7F618040" w14:textId="1E1E8DC3" w:rsidR="00093D93" w:rsidRPr="00093D93" w:rsidRDefault="009C0913" w:rsidP="009326E3">
      <w:pPr>
        <w:rPr>
          <w:rFonts w:cstheme="minorHAnsi"/>
          <w:sz w:val="24"/>
          <w:szCs w:val="24"/>
        </w:rPr>
      </w:pPr>
      <w:r w:rsidRPr="00C13C80">
        <w:rPr>
          <w:rFonts w:cstheme="minorHAnsi"/>
          <w:sz w:val="24"/>
          <w:szCs w:val="24"/>
        </w:rPr>
        <w:t xml:space="preserve">Venetoclax has been studied in combination with hypomethylating agents (HMA) per Dinardo et al., as well as low-dose cytarabine (LDAC) per Wei et al for upfront treatment in AML in a select patient population, and has shown encouraging response rates.  </w:t>
      </w:r>
      <w:r>
        <w:rPr>
          <w:rFonts w:cstheme="minorHAnsi"/>
          <w:sz w:val="24"/>
          <w:szCs w:val="24"/>
        </w:rPr>
        <w:t>In addition, the recently published VIALE-A trial by Dinardo et. al demonstrated superior complete response and overall survival of azacitidine in combination with venetoclax compared to azacitidine monotherapy for upfront treatment in AML for patients ineligible for intensive induction therapy.  In a similar patient group, the VIALE-C trial by Wei et al demonstrated that although overall survival benefit was not seen in the primary analysis, a six-month follow up showed statistically significant overall survival benefit for LDAC plus venetoclax. However, t</w:t>
      </w:r>
      <w:r w:rsidRPr="00C13C80">
        <w:rPr>
          <w:rFonts w:cstheme="minorHAnsi"/>
          <w:sz w:val="24"/>
          <w:szCs w:val="24"/>
        </w:rPr>
        <w:t xml:space="preserve">he addition of venetoclax to either HMA or LDAC results in myelosuppression beyond what is expected in monotherapy with either of these backbones.  Because of the myelosuppression, the complicated management of AML patients not yet in remission, tumor lysis syndrome mitigation and drug-drug interactions, this regimen should be begun at a leukemia center.  Patients who enter remission may receive supportive care at community centers, but patients should still be followed at least monthly by a leukemia specialist.  </w:t>
      </w:r>
    </w:p>
    <w:p w14:paraId="6C3D6C5E" w14:textId="77777777" w:rsidR="00E32F93" w:rsidRPr="00C13C80" w:rsidRDefault="00E32F93" w:rsidP="00E32F93">
      <w:pPr>
        <w:pStyle w:val="ListParagraph"/>
        <w:spacing w:after="0" w:line="240" w:lineRule="auto"/>
        <w:rPr>
          <w:rFonts w:cstheme="minorHAnsi"/>
          <w:b/>
          <w:sz w:val="24"/>
          <w:szCs w:val="24"/>
        </w:rPr>
      </w:pPr>
      <w:r w:rsidRPr="00C13C80">
        <w:rPr>
          <w:rFonts w:cstheme="minorHAnsi"/>
          <w:b/>
          <w:sz w:val="24"/>
          <w:szCs w:val="24"/>
        </w:rPr>
        <w:t>Logistics of prescribing venetoclax with combination therapy</w:t>
      </w:r>
    </w:p>
    <w:p w14:paraId="0B733774" w14:textId="77777777" w:rsidR="00CA7149" w:rsidRPr="00C13C80" w:rsidRDefault="00CA7149" w:rsidP="00CA7149">
      <w:pPr>
        <w:pStyle w:val="ListParagraph"/>
        <w:numPr>
          <w:ilvl w:val="0"/>
          <w:numId w:val="12"/>
        </w:numPr>
        <w:spacing w:after="0" w:line="240" w:lineRule="auto"/>
        <w:rPr>
          <w:rFonts w:cstheme="minorHAnsi"/>
          <w:sz w:val="24"/>
          <w:szCs w:val="24"/>
        </w:rPr>
      </w:pPr>
      <w:r w:rsidRPr="00C13C80">
        <w:rPr>
          <w:rFonts w:cstheme="minorHAnsi"/>
          <w:sz w:val="24"/>
          <w:szCs w:val="24"/>
        </w:rPr>
        <w:t xml:space="preserve">In general, patients should start their first dose of venetoclax and first dose of HMA or LDAC on the same day (D1) due to synergistic effect of both agents. </w:t>
      </w:r>
    </w:p>
    <w:p w14:paraId="059428CB" w14:textId="77777777" w:rsidR="00CA7149" w:rsidRPr="00C13C80" w:rsidRDefault="00CA7149" w:rsidP="00CA7149">
      <w:pPr>
        <w:pStyle w:val="ListParagraph"/>
        <w:numPr>
          <w:ilvl w:val="0"/>
          <w:numId w:val="12"/>
        </w:numPr>
        <w:spacing w:after="0" w:line="240" w:lineRule="auto"/>
        <w:rPr>
          <w:rFonts w:cstheme="minorHAnsi"/>
          <w:sz w:val="24"/>
          <w:szCs w:val="24"/>
        </w:rPr>
      </w:pPr>
      <w:r w:rsidRPr="00C13C80">
        <w:rPr>
          <w:rFonts w:cstheme="minorHAnsi"/>
          <w:sz w:val="24"/>
          <w:szCs w:val="24"/>
        </w:rPr>
        <w:t>The dose of azacitidine 75 mg/m2 SQ or IV x 7 days (venetoclax 400 mg daily target dose)</w:t>
      </w:r>
    </w:p>
    <w:p w14:paraId="1FEDAE91" w14:textId="77777777" w:rsidR="00CA7149" w:rsidRPr="00C13C80" w:rsidRDefault="00CA7149" w:rsidP="00CA7149">
      <w:pPr>
        <w:pStyle w:val="ListParagraph"/>
        <w:numPr>
          <w:ilvl w:val="1"/>
          <w:numId w:val="12"/>
        </w:numPr>
        <w:spacing w:after="0" w:line="240" w:lineRule="auto"/>
        <w:rPr>
          <w:rFonts w:cstheme="minorHAnsi"/>
          <w:sz w:val="24"/>
          <w:szCs w:val="24"/>
        </w:rPr>
      </w:pPr>
      <w:r w:rsidRPr="00C13C80">
        <w:rPr>
          <w:rFonts w:cstheme="minorHAnsi"/>
          <w:sz w:val="24"/>
          <w:szCs w:val="24"/>
        </w:rPr>
        <w:t>The treatment plan name is “OP AML AZACITIDINE + VENETOCLAX”</w:t>
      </w:r>
    </w:p>
    <w:p w14:paraId="7C4EBAB4" w14:textId="77777777" w:rsidR="00CA7149" w:rsidRPr="00C13C80" w:rsidRDefault="00CA7149" w:rsidP="00CA7149">
      <w:pPr>
        <w:pStyle w:val="ListParagraph"/>
        <w:numPr>
          <w:ilvl w:val="1"/>
          <w:numId w:val="12"/>
        </w:numPr>
        <w:spacing w:after="0" w:line="240" w:lineRule="auto"/>
        <w:rPr>
          <w:rFonts w:cstheme="minorHAnsi"/>
          <w:sz w:val="24"/>
          <w:szCs w:val="24"/>
        </w:rPr>
      </w:pPr>
      <w:r w:rsidRPr="00C13C80">
        <w:rPr>
          <w:rFonts w:cstheme="minorHAnsi"/>
          <w:sz w:val="24"/>
          <w:szCs w:val="24"/>
        </w:rPr>
        <w:t xml:space="preserve">This defaults to SQ but the patient if the patient doesn’t tolerate the SQ injections, may switch to IV which will require a new azacitidine order. </w:t>
      </w:r>
    </w:p>
    <w:p w14:paraId="735D76E9" w14:textId="28D53BD0" w:rsidR="00CA7149" w:rsidRPr="00C13C80" w:rsidRDefault="00EF7C99" w:rsidP="00CA7149">
      <w:pPr>
        <w:pStyle w:val="ListParagraph"/>
        <w:numPr>
          <w:ilvl w:val="1"/>
          <w:numId w:val="12"/>
        </w:numPr>
        <w:spacing w:after="0" w:line="240" w:lineRule="auto"/>
        <w:rPr>
          <w:rFonts w:cstheme="minorHAnsi"/>
          <w:sz w:val="24"/>
          <w:szCs w:val="24"/>
        </w:rPr>
      </w:pPr>
      <w:r>
        <w:rPr>
          <w:rFonts w:cstheme="minorHAnsi"/>
          <w:sz w:val="24"/>
          <w:szCs w:val="24"/>
        </w:rPr>
        <w:t xml:space="preserve">After cycle one, </w:t>
      </w:r>
      <w:r w:rsidR="00CA7149" w:rsidRPr="00C13C80">
        <w:rPr>
          <w:rFonts w:cstheme="minorHAnsi"/>
          <w:sz w:val="24"/>
          <w:szCs w:val="24"/>
        </w:rPr>
        <w:t>It is ok to do azacitidine on Days 1-5, 8-9 to give patients the weekend off if they prefer</w:t>
      </w:r>
      <w:r w:rsidR="004D240E">
        <w:rPr>
          <w:rFonts w:cstheme="minorHAnsi"/>
          <w:sz w:val="24"/>
          <w:szCs w:val="24"/>
        </w:rPr>
        <w:t xml:space="preserve"> </w:t>
      </w:r>
    </w:p>
    <w:p w14:paraId="3E07F60B" w14:textId="77777777" w:rsidR="00CA7149" w:rsidRPr="00C13C80" w:rsidRDefault="00CA7149" w:rsidP="00CA7149">
      <w:pPr>
        <w:pStyle w:val="ListParagraph"/>
        <w:numPr>
          <w:ilvl w:val="0"/>
          <w:numId w:val="12"/>
        </w:numPr>
        <w:spacing w:after="0" w:line="240" w:lineRule="auto"/>
        <w:rPr>
          <w:rFonts w:cstheme="minorHAnsi"/>
          <w:sz w:val="24"/>
          <w:szCs w:val="24"/>
        </w:rPr>
      </w:pPr>
      <w:r w:rsidRPr="00C13C80">
        <w:rPr>
          <w:rFonts w:cstheme="minorHAnsi"/>
          <w:sz w:val="24"/>
          <w:szCs w:val="24"/>
        </w:rPr>
        <w:t>The dose of LDAC is 20 mg/m2 SQ x 10 days (venetoclax 600 mg daily target dose)</w:t>
      </w:r>
    </w:p>
    <w:p w14:paraId="5276D61E" w14:textId="7C486C02" w:rsidR="00CA7149" w:rsidRPr="00C13C80" w:rsidRDefault="00CA7149" w:rsidP="00CA7149">
      <w:pPr>
        <w:pStyle w:val="ListParagraph"/>
        <w:numPr>
          <w:ilvl w:val="1"/>
          <w:numId w:val="12"/>
        </w:numPr>
        <w:spacing w:after="0" w:line="240" w:lineRule="auto"/>
        <w:rPr>
          <w:rFonts w:cstheme="minorHAnsi"/>
          <w:sz w:val="24"/>
          <w:szCs w:val="24"/>
        </w:rPr>
      </w:pPr>
      <w:r w:rsidRPr="00C13C80">
        <w:rPr>
          <w:rFonts w:cstheme="minorHAnsi"/>
          <w:sz w:val="24"/>
          <w:szCs w:val="24"/>
        </w:rPr>
        <w:t>The treatment plan name is “OP AML CYTARABINE + VENETOCLAX”</w:t>
      </w:r>
    </w:p>
    <w:p w14:paraId="01647CB8" w14:textId="4CB42DBB" w:rsidR="00F75148" w:rsidRPr="00C13C80" w:rsidRDefault="00F75148" w:rsidP="00F75148">
      <w:pPr>
        <w:pStyle w:val="ListParagraph"/>
        <w:numPr>
          <w:ilvl w:val="0"/>
          <w:numId w:val="12"/>
        </w:numPr>
        <w:spacing w:after="0" w:line="240" w:lineRule="auto"/>
        <w:rPr>
          <w:rFonts w:cstheme="minorHAnsi"/>
          <w:sz w:val="24"/>
          <w:szCs w:val="24"/>
        </w:rPr>
      </w:pPr>
      <w:r w:rsidRPr="00C13C80">
        <w:rPr>
          <w:rFonts w:cstheme="minorHAnsi"/>
          <w:sz w:val="24"/>
          <w:szCs w:val="24"/>
        </w:rPr>
        <w:t>Venetoclax + decitabine may be considered as a treatment option if a patient is not eligible for the aforementioned regimens</w:t>
      </w:r>
    </w:p>
    <w:p w14:paraId="374B2DC2" w14:textId="5105E2C5" w:rsidR="00402FA5" w:rsidRPr="00C13C80" w:rsidRDefault="00402FA5" w:rsidP="00F75148">
      <w:pPr>
        <w:pStyle w:val="ListParagraph"/>
        <w:numPr>
          <w:ilvl w:val="0"/>
          <w:numId w:val="12"/>
        </w:numPr>
        <w:spacing w:after="0" w:line="240" w:lineRule="auto"/>
        <w:rPr>
          <w:rFonts w:cstheme="minorHAnsi"/>
          <w:sz w:val="24"/>
          <w:szCs w:val="24"/>
        </w:rPr>
      </w:pPr>
      <w:r w:rsidRPr="00C13C80">
        <w:rPr>
          <w:rFonts w:cstheme="minorHAnsi"/>
          <w:sz w:val="24"/>
          <w:szCs w:val="24"/>
        </w:rPr>
        <w:t>Venetoclax monotherapy targets a dose of 800 mg daily, and includes a 4 day ramp-up and 5 days of infusion with fluids</w:t>
      </w:r>
    </w:p>
    <w:p w14:paraId="69D9926E" w14:textId="41577C35" w:rsidR="00402FA5" w:rsidRPr="00C13C80" w:rsidRDefault="00402FA5" w:rsidP="00402FA5">
      <w:pPr>
        <w:pStyle w:val="ListParagraph"/>
        <w:numPr>
          <w:ilvl w:val="1"/>
          <w:numId w:val="12"/>
        </w:numPr>
        <w:spacing w:after="0" w:line="240" w:lineRule="auto"/>
        <w:rPr>
          <w:rFonts w:cstheme="minorHAnsi"/>
          <w:sz w:val="24"/>
          <w:szCs w:val="24"/>
        </w:rPr>
      </w:pPr>
      <w:r w:rsidRPr="00C13C80">
        <w:rPr>
          <w:rFonts w:cstheme="minorHAnsi"/>
          <w:sz w:val="24"/>
          <w:szCs w:val="24"/>
        </w:rPr>
        <w:t>The treatment plan name is “OP AML VENETOCLAX”.</w:t>
      </w:r>
    </w:p>
    <w:p w14:paraId="340119BC" w14:textId="225EBA1C" w:rsidR="00CA7149" w:rsidRPr="00C13C80" w:rsidRDefault="00CA7149" w:rsidP="00CA7149">
      <w:pPr>
        <w:spacing w:after="0" w:line="240" w:lineRule="auto"/>
        <w:rPr>
          <w:rFonts w:cstheme="minorHAnsi"/>
          <w:sz w:val="24"/>
          <w:szCs w:val="24"/>
        </w:rPr>
      </w:pPr>
    </w:p>
    <w:p w14:paraId="27167B19" w14:textId="7B4D173C" w:rsidR="00402FA5" w:rsidRPr="00C13C80" w:rsidRDefault="00402FA5" w:rsidP="00CA7149">
      <w:pPr>
        <w:spacing w:after="0" w:line="240" w:lineRule="auto"/>
        <w:rPr>
          <w:rFonts w:cstheme="minorHAnsi"/>
          <w:i/>
          <w:sz w:val="24"/>
          <w:szCs w:val="24"/>
        </w:rPr>
      </w:pPr>
      <w:r w:rsidRPr="00C13C80">
        <w:rPr>
          <w:rFonts w:cstheme="minorHAnsi"/>
          <w:i/>
          <w:sz w:val="24"/>
          <w:szCs w:val="24"/>
        </w:rPr>
        <w:t>For Inpatients</w:t>
      </w:r>
    </w:p>
    <w:p w14:paraId="57815673" w14:textId="24306AF8" w:rsidR="00402FA5" w:rsidRPr="00C13C80" w:rsidRDefault="00402FA5" w:rsidP="00402FA5">
      <w:pPr>
        <w:pStyle w:val="ListParagraph"/>
        <w:numPr>
          <w:ilvl w:val="0"/>
          <w:numId w:val="20"/>
        </w:numPr>
        <w:spacing w:after="0" w:line="240" w:lineRule="auto"/>
        <w:rPr>
          <w:rFonts w:cstheme="minorHAnsi"/>
          <w:i/>
          <w:sz w:val="24"/>
          <w:szCs w:val="24"/>
        </w:rPr>
      </w:pPr>
      <w:r w:rsidRPr="00C13C80">
        <w:rPr>
          <w:rFonts w:cstheme="minorHAnsi"/>
          <w:i/>
          <w:sz w:val="24"/>
          <w:szCs w:val="24"/>
        </w:rPr>
        <w:t>Venetoclax 100 mg tablets are available for new AML starts</w:t>
      </w:r>
      <w:r w:rsidR="00A10AB6" w:rsidRPr="00C13C80">
        <w:rPr>
          <w:rFonts w:cstheme="minorHAnsi"/>
          <w:i/>
          <w:sz w:val="24"/>
          <w:szCs w:val="24"/>
        </w:rPr>
        <w:t xml:space="preserve"> only</w:t>
      </w:r>
    </w:p>
    <w:p w14:paraId="58762168" w14:textId="3ABC5E68" w:rsidR="00402FA5" w:rsidRPr="00C13C80" w:rsidRDefault="00402FA5" w:rsidP="00402FA5">
      <w:pPr>
        <w:pStyle w:val="ListParagraph"/>
        <w:numPr>
          <w:ilvl w:val="0"/>
          <w:numId w:val="20"/>
        </w:numPr>
        <w:spacing w:after="0" w:line="240" w:lineRule="auto"/>
        <w:rPr>
          <w:rFonts w:cstheme="minorHAnsi"/>
          <w:i/>
          <w:sz w:val="24"/>
          <w:szCs w:val="24"/>
        </w:rPr>
      </w:pPr>
      <w:r w:rsidRPr="00C13C80">
        <w:rPr>
          <w:rFonts w:cstheme="minorHAnsi"/>
          <w:i/>
          <w:sz w:val="24"/>
          <w:szCs w:val="24"/>
        </w:rPr>
        <w:t>AML patients who are admitted and are continuing venetoclax should have obtained venetoclax authorization in the outpatient setting and bring medication into the hospital for administration of the patient’s supply</w:t>
      </w:r>
    </w:p>
    <w:p w14:paraId="29451D29" w14:textId="77777777" w:rsidR="00CA7149" w:rsidRPr="00C13C80" w:rsidRDefault="00CA7149" w:rsidP="00CA7149">
      <w:pPr>
        <w:spacing w:after="0" w:line="240" w:lineRule="auto"/>
        <w:rPr>
          <w:rFonts w:cstheme="minorHAnsi"/>
          <w:sz w:val="24"/>
          <w:szCs w:val="24"/>
        </w:rPr>
      </w:pPr>
    </w:p>
    <w:p w14:paraId="5B7C7BE5" w14:textId="2E6A385D" w:rsidR="00CA7149" w:rsidRPr="00C13C80" w:rsidRDefault="00CA7149" w:rsidP="00CA7149">
      <w:pPr>
        <w:spacing w:after="0" w:line="240" w:lineRule="auto"/>
        <w:rPr>
          <w:rFonts w:cstheme="minorHAnsi"/>
          <w:sz w:val="24"/>
          <w:szCs w:val="24"/>
        </w:rPr>
      </w:pPr>
      <w:r w:rsidRPr="00C13C80">
        <w:rPr>
          <w:rFonts w:cstheme="minorHAnsi"/>
          <w:sz w:val="24"/>
          <w:szCs w:val="24"/>
        </w:rPr>
        <w:t>How to start venetoclax for an AML patient:</w:t>
      </w:r>
    </w:p>
    <w:p w14:paraId="51A9DD67" w14:textId="058E62C2" w:rsidR="00CA7149" w:rsidRPr="00C13C80" w:rsidRDefault="00CA7149" w:rsidP="00CA7149">
      <w:pPr>
        <w:pStyle w:val="ListParagraph"/>
        <w:numPr>
          <w:ilvl w:val="0"/>
          <w:numId w:val="15"/>
        </w:numPr>
        <w:spacing w:after="0" w:line="240" w:lineRule="auto"/>
        <w:rPr>
          <w:rFonts w:cstheme="minorHAnsi"/>
          <w:sz w:val="24"/>
          <w:szCs w:val="24"/>
        </w:rPr>
      </w:pPr>
      <w:r w:rsidRPr="00C13C80">
        <w:rPr>
          <w:rFonts w:cstheme="minorHAnsi"/>
          <w:sz w:val="24"/>
          <w:szCs w:val="24"/>
        </w:rPr>
        <w:t>Send prescription to the</w:t>
      </w:r>
      <w:r w:rsidR="00557674" w:rsidRPr="00C13C80">
        <w:rPr>
          <w:rFonts w:cstheme="minorHAnsi"/>
          <w:sz w:val="24"/>
          <w:szCs w:val="24"/>
        </w:rPr>
        <w:t xml:space="preserve"> UNC</w:t>
      </w:r>
      <w:r w:rsidRPr="00C13C80">
        <w:rPr>
          <w:rFonts w:cstheme="minorHAnsi"/>
          <w:sz w:val="24"/>
          <w:szCs w:val="24"/>
        </w:rPr>
        <w:t xml:space="preserve"> Shared Services Pharmacy</w:t>
      </w:r>
    </w:p>
    <w:p w14:paraId="7C9F90C1" w14:textId="77777777" w:rsidR="00CA7149" w:rsidRPr="00C13C80" w:rsidRDefault="00CA7149" w:rsidP="00CA7149">
      <w:pPr>
        <w:pStyle w:val="ListParagraph"/>
        <w:numPr>
          <w:ilvl w:val="1"/>
          <w:numId w:val="15"/>
        </w:numPr>
        <w:spacing w:after="0" w:line="240" w:lineRule="auto"/>
        <w:rPr>
          <w:rFonts w:cstheme="minorHAnsi"/>
          <w:sz w:val="24"/>
          <w:szCs w:val="24"/>
        </w:rPr>
      </w:pPr>
      <w:r w:rsidRPr="00C13C80">
        <w:rPr>
          <w:rFonts w:cstheme="minorHAnsi"/>
          <w:sz w:val="24"/>
          <w:szCs w:val="24"/>
        </w:rPr>
        <w:t xml:space="preserve">Venetoclax comes in 100 mg tablets </w:t>
      </w:r>
    </w:p>
    <w:p w14:paraId="1081423D" w14:textId="710483BB" w:rsidR="00CA7149" w:rsidRPr="00C13C80" w:rsidRDefault="00CA7149" w:rsidP="00CA7149">
      <w:pPr>
        <w:pStyle w:val="ListParagraph"/>
        <w:numPr>
          <w:ilvl w:val="2"/>
          <w:numId w:val="15"/>
        </w:numPr>
        <w:spacing w:after="0" w:line="240" w:lineRule="auto"/>
        <w:rPr>
          <w:rFonts w:cstheme="minorHAnsi"/>
          <w:sz w:val="24"/>
          <w:szCs w:val="24"/>
        </w:rPr>
      </w:pPr>
      <w:r w:rsidRPr="00C13C80">
        <w:rPr>
          <w:rFonts w:cstheme="minorHAnsi"/>
          <w:sz w:val="24"/>
          <w:szCs w:val="24"/>
        </w:rPr>
        <w:t xml:space="preserve">The smaller doses are only available as part of the CLL starter pack </w:t>
      </w:r>
    </w:p>
    <w:p w14:paraId="553EA2E5" w14:textId="467475F9" w:rsidR="00F75148" w:rsidRPr="00C13C80" w:rsidRDefault="00F75148" w:rsidP="00CA7149">
      <w:pPr>
        <w:pStyle w:val="ListParagraph"/>
        <w:numPr>
          <w:ilvl w:val="2"/>
          <w:numId w:val="15"/>
        </w:numPr>
        <w:spacing w:after="0" w:line="240" w:lineRule="auto"/>
        <w:rPr>
          <w:rFonts w:cstheme="minorHAnsi"/>
          <w:sz w:val="24"/>
          <w:szCs w:val="24"/>
        </w:rPr>
      </w:pPr>
      <w:r w:rsidRPr="00C13C80">
        <w:rPr>
          <w:rFonts w:cstheme="minorHAnsi"/>
          <w:sz w:val="24"/>
          <w:szCs w:val="24"/>
        </w:rPr>
        <w:lastRenderedPageBreak/>
        <w:t>It is possible to get 20 mg x 7 days and 50 mg x 7 days wallet packs if needed and as insurance approval allows</w:t>
      </w:r>
    </w:p>
    <w:p w14:paraId="49D6D708" w14:textId="77777777" w:rsidR="00CA7149" w:rsidRPr="00C13C80" w:rsidRDefault="00CA7149" w:rsidP="00CA7149">
      <w:pPr>
        <w:pStyle w:val="ListParagraph"/>
        <w:numPr>
          <w:ilvl w:val="1"/>
          <w:numId w:val="15"/>
        </w:numPr>
        <w:spacing w:after="0" w:line="240" w:lineRule="auto"/>
        <w:rPr>
          <w:rFonts w:cstheme="minorHAnsi"/>
          <w:sz w:val="24"/>
          <w:szCs w:val="24"/>
        </w:rPr>
      </w:pPr>
      <w:r w:rsidRPr="00C13C80">
        <w:rPr>
          <w:rFonts w:cstheme="minorHAnsi"/>
          <w:sz w:val="24"/>
          <w:szCs w:val="24"/>
        </w:rPr>
        <w:t>The typical dose for AML patients who are NOT on azole antifungals is 400 mg daily when combined with HMA’s, and 600 mg daily when combined with LDAC.</w:t>
      </w:r>
    </w:p>
    <w:p w14:paraId="52042293" w14:textId="77777777" w:rsidR="00CA7149" w:rsidRPr="00C13C80" w:rsidRDefault="00CA7149" w:rsidP="00CA7149">
      <w:pPr>
        <w:pStyle w:val="ListParagraph"/>
        <w:numPr>
          <w:ilvl w:val="2"/>
          <w:numId w:val="15"/>
        </w:numPr>
        <w:spacing w:after="0" w:line="240" w:lineRule="auto"/>
        <w:rPr>
          <w:rFonts w:cstheme="minorHAnsi"/>
          <w:sz w:val="24"/>
          <w:szCs w:val="24"/>
        </w:rPr>
      </w:pPr>
      <w:r w:rsidRPr="00C13C80">
        <w:rPr>
          <w:rFonts w:cstheme="minorHAnsi"/>
          <w:sz w:val="24"/>
          <w:szCs w:val="24"/>
        </w:rPr>
        <w:t>Day’s supply when combined with HMA’s: #120</w:t>
      </w:r>
    </w:p>
    <w:p w14:paraId="75F63A61" w14:textId="0A8FA8B7" w:rsidR="00CA7149" w:rsidRPr="00C13C80" w:rsidRDefault="00CA7149" w:rsidP="00E32F93">
      <w:pPr>
        <w:pStyle w:val="ListParagraph"/>
        <w:numPr>
          <w:ilvl w:val="2"/>
          <w:numId w:val="15"/>
        </w:numPr>
        <w:spacing w:after="0" w:line="240" w:lineRule="auto"/>
        <w:rPr>
          <w:rFonts w:cstheme="minorHAnsi"/>
          <w:sz w:val="24"/>
          <w:szCs w:val="24"/>
        </w:rPr>
      </w:pPr>
      <w:r w:rsidRPr="00C13C80">
        <w:rPr>
          <w:rFonts w:cstheme="minorHAnsi"/>
          <w:sz w:val="24"/>
          <w:szCs w:val="24"/>
        </w:rPr>
        <w:t>Day’s supply when combined with LDAC: #180</w:t>
      </w:r>
    </w:p>
    <w:p w14:paraId="022A9C58" w14:textId="77777777" w:rsidR="00CA7149" w:rsidRPr="00C13C80" w:rsidRDefault="00CA7149" w:rsidP="00CA7149">
      <w:pPr>
        <w:pStyle w:val="ListParagraph"/>
        <w:numPr>
          <w:ilvl w:val="1"/>
          <w:numId w:val="15"/>
        </w:numPr>
        <w:spacing w:after="0" w:line="240" w:lineRule="auto"/>
        <w:rPr>
          <w:rFonts w:cstheme="minorHAnsi"/>
          <w:sz w:val="24"/>
          <w:szCs w:val="24"/>
        </w:rPr>
      </w:pPr>
      <w:r w:rsidRPr="00C13C80">
        <w:rPr>
          <w:rFonts w:cstheme="minorHAnsi"/>
          <w:sz w:val="24"/>
          <w:szCs w:val="24"/>
        </w:rPr>
        <w:t>If you do not want to start this medication immediately upon approval, you may note that in the “notes to pharmacy” text box on the prescription. This will notify our pharmacist at the SSC or elsewhere to not immediately send the medication once the patient is approved. Please communicate this with the pharmacist so they can help prevent errors with the patient starting early.</w:t>
      </w:r>
    </w:p>
    <w:p w14:paraId="37BC8E3F" w14:textId="0D6A3A95" w:rsidR="00CA7149" w:rsidRPr="00C13C80" w:rsidRDefault="00421D9A" w:rsidP="00CA7149">
      <w:pPr>
        <w:pStyle w:val="ListParagraph"/>
        <w:numPr>
          <w:ilvl w:val="0"/>
          <w:numId w:val="15"/>
        </w:numPr>
        <w:spacing w:after="0" w:line="240" w:lineRule="auto"/>
        <w:rPr>
          <w:rFonts w:cstheme="minorHAnsi"/>
          <w:sz w:val="24"/>
          <w:szCs w:val="24"/>
        </w:rPr>
      </w:pPr>
      <w:r w:rsidRPr="00C13C80">
        <w:rPr>
          <w:rFonts w:cstheme="minorHAnsi"/>
          <w:sz w:val="24"/>
          <w:szCs w:val="24"/>
        </w:rPr>
        <w:t>Notify CPP</w:t>
      </w:r>
      <w:r w:rsidR="00CA7149" w:rsidRPr="00C13C80">
        <w:rPr>
          <w:rFonts w:cstheme="minorHAnsi"/>
          <w:sz w:val="24"/>
          <w:szCs w:val="24"/>
        </w:rPr>
        <w:t xml:space="preserve"> and MAP teammate of a potential new start venetoclax. </w:t>
      </w:r>
    </w:p>
    <w:p w14:paraId="57A9DC28" w14:textId="77777777" w:rsidR="00CA7149" w:rsidRPr="00C13C80" w:rsidRDefault="00CA7149" w:rsidP="00CA7149">
      <w:pPr>
        <w:pStyle w:val="ListParagraph"/>
        <w:numPr>
          <w:ilvl w:val="1"/>
          <w:numId w:val="15"/>
        </w:numPr>
        <w:spacing w:after="0" w:line="240" w:lineRule="auto"/>
        <w:rPr>
          <w:rFonts w:cstheme="minorHAnsi"/>
          <w:sz w:val="24"/>
          <w:szCs w:val="24"/>
        </w:rPr>
      </w:pPr>
      <w:r w:rsidRPr="00C13C80">
        <w:rPr>
          <w:rFonts w:cstheme="minorHAnsi"/>
          <w:sz w:val="24"/>
          <w:szCs w:val="24"/>
        </w:rPr>
        <w:t>If this is a definite new start requiring patient education and coordination, discuss adding this patient to the CPP template.</w:t>
      </w:r>
    </w:p>
    <w:p w14:paraId="2A6FD023" w14:textId="6E7D024D" w:rsidR="00CA7149" w:rsidRPr="00C13C80" w:rsidRDefault="00421D9A" w:rsidP="00CA7149">
      <w:pPr>
        <w:pStyle w:val="ListParagraph"/>
        <w:numPr>
          <w:ilvl w:val="1"/>
          <w:numId w:val="15"/>
        </w:numPr>
        <w:spacing w:after="0" w:line="240" w:lineRule="auto"/>
        <w:rPr>
          <w:rFonts w:cstheme="minorHAnsi"/>
          <w:sz w:val="24"/>
          <w:szCs w:val="24"/>
        </w:rPr>
      </w:pPr>
      <w:r w:rsidRPr="00C13C80">
        <w:rPr>
          <w:rFonts w:cstheme="minorHAnsi"/>
          <w:sz w:val="24"/>
          <w:szCs w:val="24"/>
        </w:rPr>
        <w:t>MAP and CPP</w:t>
      </w:r>
      <w:r w:rsidR="00CA7149" w:rsidRPr="00C13C80">
        <w:rPr>
          <w:rFonts w:cstheme="minorHAnsi"/>
          <w:sz w:val="24"/>
          <w:szCs w:val="24"/>
        </w:rPr>
        <w:t xml:space="preserve"> will discuss medication access and if patient is agreeable, obtain a signature waiver and income estimates</w:t>
      </w:r>
    </w:p>
    <w:p w14:paraId="1E908DE2" w14:textId="2462DB93" w:rsidR="00CA7149" w:rsidRPr="00C13C80" w:rsidRDefault="00CA7149" w:rsidP="00CA7149">
      <w:pPr>
        <w:pStyle w:val="ListParagraph"/>
        <w:numPr>
          <w:ilvl w:val="2"/>
          <w:numId w:val="15"/>
        </w:numPr>
        <w:spacing w:after="0" w:line="240" w:lineRule="auto"/>
        <w:rPr>
          <w:rFonts w:cstheme="minorHAnsi"/>
          <w:sz w:val="24"/>
          <w:szCs w:val="24"/>
        </w:rPr>
      </w:pPr>
      <w:r w:rsidRPr="00C13C80">
        <w:rPr>
          <w:rFonts w:cstheme="minorHAnsi"/>
          <w:sz w:val="24"/>
          <w:szCs w:val="24"/>
        </w:rPr>
        <w:t>This signature waiver is needed if the pa</w:t>
      </w:r>
      <w:r w:rsidR="00421D9A" w:rsidRPr="00C13C80">
        <w:rPr>
          <w:rFonts w:cstheme="minorHAnsi"/>
          <w:sz w:val="24"/>
          <w:szCs w:val="24"/>
        </w:rPr>
        <w:t>tient’s insurance requires MAP</w:t>
      </w:r>
      <w:r w:rsidRPr="00C13C80">
        <w:rPr>
          <w:rFonts w:cstheme="minorHAnsi"/>
          <w:sz w:val="24"/>
          <w:szCs w:val="24"/>
        </w:rPr>
        <w:t xml:space="preserve"> to apply for a grant or manufacturer assistance on behalf of the patient. It is often unknown if this is needed until the patient is no longer in the office. Therefore, we attempt </w:t>
      </w:r>
      <w:r w:rsidR="00421D9A" w:rsidRPr="00C13C80">
        <w:rPr>
          <w:rFonts w:cstheme="minorHAnsi"/>
          <w:sz w:val="24"/>
          <w:szCs w:val="24"/>
        </w:rPr>
        <w:t>to get this waiver signed by every patient</w:t>
      </w:r>
      <w:r w:rsidRPr="00C13C80">
        <w:rPr>
          <w:rFonts w:cstheme="minorHAnsi"/>
          <w:sz w:val="24"/>
          <w:szCs w:val="24"/>
        </w:rPr>
        <w:t xml:space="preserve"> who may require a specialty medication. </w:t>
      </w:r>
    </w:p>
    <w:p w14:paraId="2A9FCF4D" w14:textId="77777777" w:rsidR="00CA7149" w:rsidRPr="00C13C80" w:rsidRDefault="00CA7149" w:rsidP="00CA7149">
      <w:pPr>
        <w:pStyle w:val="ListParagraph"/>
        <w:numPr>
          <w:ilvl w:val="1"/>
          <w:numId w:val="15"/>
        </w:numPr>
        <w:spacing w:after="0" w:line="240" w:lineRule="auto"/>
        <w:rPr>
          <w:rFonts w:cstheme="minorHAnsi"/>
          <w:sz w:val="24"/>
          <w:szCs w:val="24"/>
        </w:rPr>
      </w:pPr>
      <w:r w:rsidRPr="00C13C80">
        <w:rPr>
          <w:rFonts w:cstheme="minorHAnsi"/>
          <w:sz w:val="24"/>
          <w:szCs w:val="24"/>
        </w:rPr>
        <w:t xml:space="preserve">You can check the Referral tab in Epic to follow updates on the access of the medication. </w:t>
      </w:r>
    </w:p>
    <w:p w14:paraId="4FE0794A" w14:textId="21C5CEA6" w:rsidR="00CA7149" w:rsidRPr="00C13C80" w:rsidRDefault="00CA7149" w:rsidP="00CA7149">
      <w:pPr>
        <w:pStyle w:val="ListParagraph"/>
        <w:numPr>
          <w:ilvl w:val="0"/>
          <w:numId w:val="15"/>
        </w:numPr>
        <w:spacing w:after="0" w:line="240" w:lineRule="auto"/>
        <w:rPr>
          <w:rFonts w:cstheme="minorHAnsi"/>
          <w:sz w:val="24"/>
          <w:szCs w:val="24"/>
        </w:rPr>
      </w:pPr>
      <w:r w:rsidRPr="00C13C80">
        <w:rPr>
          <w:rFonts w:cstheme="minorHAnsi"/>
          <w:sz w:val="24"/>
          <w:szCs w:val="24"/>
        </w:rPr>
        <w:t>If you are concerned the patient will incorrectly initiate the medica</w:t>
      </w:r>
      <w:r w:rsidR="00421D9A" w:rsidRPr="00C13C80">
        <w:rPr>
          <w:rFonts w:cstheme="minorHAnsi"/>
          <w:sz w:val="24"/>
          <w:szCs w:val="24"/>
        </w:rPr>
        <w:t>tion too early, please let the CPP and MAP</w:t>
      </w:r>
      <w:r w:rsidRPr="00C13C80">
        <w:rPr>
          <w:rFonts w:cstheme="minorHAnsi"/>
          <w:sz w:val="24"/>
          <w:szCs w:val="24"/>
        </w:rPr>
        <w:t xml:space="preserve"> know that you want the first fill sent to the Cancer Hospital Infusion Pharmacy (CHIP) and we will arrange that with the pharmacy that is sending it.</w:t>
      </w:r>
    </w:p>
    <w:p w14:paraId="7199EE30" w14:textId="77777777" w:rsidR="00CA7149" w:rsidRPr="00C13C80" w:rsidRDefault="00CA7149" w:rsidP="00CA7149">
      <w:pPr>
        <w:pStyle w:val="ListParagraph"/>
        <w:numPr>
          <w:ilvl w:val="1"/>
          <w:numId w:val="15"/>
        </w:numPr>
        <w:spacing w:after="0" w:line="240" w:lineRule="auto"/>
        <w:rPr>
          <w:rFonts w:cstheme="minorHAnsi"/>
          <w:sz w:val="24"/>
          <w:szCs w:val="24"/>
        </w:rPr>
      </w:pPr>
      <w:r w:rsidRPr="00C13C80">
        <w:rPr>
          <w:rFonts w:cstheme="minorHAnsi"/>
          <w:sz w:val="24"/>
          <w:szCs w:val="24"/>
        </w:rPr>
        <w:t>This is also important for patients deemed high risk for TLS who we wish to start as an inpatient for monitoring.</w:t>
      </w:r>
    </w:p>
    <w:p w14:paraId="39538D44" w14:textId="77777777" w:rsidR="00CA7149" w:rsidRPr="00C13C80" w:rsidRDefault="00CA7149" w:rsidP="00CA7149">
      <w:pPr>
        <w:pStyle w:val="ListParagraph"/>
        <w:numPr>
          <w:ilvl w:val="1"/>
          <w:numId w:val="15"/>
        </w:numPr>
        <w:spacing w:after="0" w:line="240" w:lineRule="auto"/>
        <w:rPr>
          <w:rFonts w:cstheme="minorHAnsi"/>
          <w:sz w:val="24"/>
          <w:szCs w:val="24"/>
        </w:rPr>
      </w:pPr>
      <w:r w:rsidRPr="00C13C80">
        <w:rPr>
          <w:rFonts w:cstheme="minorHAnsi"/>
          <w:sz w:val="24"/>
          <w:szCs w:val="24"/>
        </w:rPr>
        <w:t>Assessment of WBC, LDH, uric acid, and renal function is important to determine safety of initiation in outpatient setting</w:t>
      </w:r>
    </w:p>
    <w:p w14:paraId="1145B3CD" w14:textId="752E112C" w:rsidR="00CA7149" w:rsidRPr="00C13C80" w:rsidRDefault="00CA7149" w:rsidP="00CA7149">
      <w:pPr>
        <w:spacing w:after="0" w:line="240" w:lineRule="auto"/>
        <w:rPr>
          <w:rFonts w:cstheme="minorHAnsi"/>
          <w:b/>
          <w:sz w:val="24"/>
          <w:szCs w:val="24"/>
        </w:rPr>
      </w:pPr>
    </w:p>
    <w:p w14:paraId="3A0F853B" w14:textId="77777777" w:rsidR="00CA7149" w:rsidRPr="00C13C80" w:rsidRDefault="00E32F93" w:rsidP="00CA7149">
      <w:pPr>
        <w:spacing w:after="0" w:line="240" w:lineRule="auto"/>
        <w:rPr>
          <w:rFonts w:cstheme="minorHAnsi"/>
          <w:b/>
          <w:sz w:val="24"/>
          <w:szCs w:val="24"/>
        </w:rPr>
      </w:pPr>
      <w:r w:rsidRPr="00C13C80">
        <w:rPr>
          <w:rFonts w:cstheme="minorHAnsi"/>
          <w:b/>
          <w:sz w:val="24"/>
          <w:szCs w:val="24"/>
        </w:rPr>
        <w:t>Tumor lysis risk assessment and risk mitigation</w:t>
      </w:r>
    </w:p>
    <w:p w14:paraId="00770666" w14:textId="77777777" w:rsidR="00E32F93" w:rsidRPr="00C13C80" w:rsidRDefault="00E32F93" w:rsidP="00CA7149">
      <w:pPr>
        <w:spacing w:after="0" w:line="240" w:lineRule="auto"/>
        <w:rPr>
          <w:rFonts w:cstheme="minorHAnsi"/>
          <w:sz w:val="24"/>
          <w:szCs w:val="24"/>
        </w:rPr>
      </w:pPr>
    </w:p>
    <w:p w14:paraId="713D21FC" w14:textId="0697EC9A" w:rsidR="00E32F93" w:rsidRPr="00C13C80" w:rsidRDefault="00E32F93" w:rsidP="00CA7149">
      <w:pPr>
        <w:spacing w:after="0" w:line="240" w:lineRule="auto"/>
        <w:rPr>
          <w:rFonts w:cstheme="minorHAnsi"/>
          <w:sz w:val="24"/>
          <w:szCs w:val="24"/>
        </w:rPr>
      </w:pPr>
      <w:r w:rsidRPr="00C13C80">
        <w:rPr>
          <w:rFonts w:cstheme="minorHAnsi"/>
          <w:sz w:val="24"/>
          <w:szCs w:val="24"/>
        </w:rPr>
        <w:t>Risk of tumor lysis is lower than seen in CLL, but patients with high disease burden (</w:t>
      </w:r>
      <w:r w:rsidR="003B45C3">
        <w:rPr>
          <w:rFonts w:cstheme="minorHAnsi"/>
          <w:sz w:val="24"/>
          <w:szCs w:val="24"/>
        </w:rPr>
        <w:t xml:space="preserve">eg. WBC ≥ 40, </w:t>
      </w:r>
      <w:r w:rsidRPr="00C13C80">
        <w:rPr>
          <w:rFonts w:cstheme="minorHAnsi"/>
          <w:sz w:val="24"/>
          <w:szCs w:val="24"/>
        </w:rPr>
        <w:t>proliferative and requiring hydroxyurea cytoreduction), patients with renal dysfunction at baseline may be at higher risk among the AML population.</w:t>
      </w:r>
    </w:p>
    <w:p w14:paraId="514DC3D2" w14:textId="77777777" w:rsidR="00E32F93" w:rsidRPr="00C13C80" w:rsidRDefault="00E32F93" w:rsidP="00CA7149">
      <w:pPr>
        <w:spacing w:after="0" w:line="240" w:lineRule="auto"/>
        <w:rPr>
          <w:rFonts w:cstheme="minorHAnsi"/>
          <w:sz w:val="24"/>
          <w:szCs w:val="24"/>
        </w:rPr>
      </w:pPr>
      <w:r w:rsidRPr="00C13C80">
        <w:rPr>
          <w:rFonts w:cstheme="minorHAnsi"/>
          <w:sz w:val="24"/>
          <w:szCs w:val="24"/>
        </w:rPr>
        <w:t xml:space="preserve"> </w:t>
      </w:r>
    </w:p>
    <w:p w14:paraId="2F5E3DA9" w14:textId="77777777" w:rsidR="00E32F93" w:rsidRPr="00C13C80" w:rsidRDefault="00E32F93" w:rsidP="00CA7149">
      <w:pPr>
        <w:spacing w:after="0" w:line="240" w:lineRule="auto"/>
        <w:rPr>
          <w:rFonts w:cstheme="minorHAnsi"/>
          <w:sz w:val="24"/>
          <w:szCs w:val="24"/>
        </w:rPr>
      </w:pPr>
      <w:r w:rsidRPr="00C13C80">
        <w:rPr>
          <w:rFonts w:cstheme="minorHAnsi"/>
          <w:sz w:val="24"/>
          <w:szCs w:val="24"/>
        </w:rPr>
        <w:t xml:space="preserve">An intra-patient dose-escalation or “ramp-up” has been used to lower the risk of tumor lysis syndrome.  </w:t>
      </w:r>
    </w:p>
    <w:p w14:paraId="4D704539" w14:textId="77777777" w:rsidR="00E32F93" w:rsidRPr="00C13C80" w:rsidRDefault="00E32F93" w:rsidP="00CA7149">
      <w:pPr>
        <w:spacing w:after="0" w:line="240" w:lineRule="auto"/>
        <w:rPr>
          <w:rFonts w:cstheme="minorHAnsi"/>
          <w:sz w:val="24"/>
          <w:szCs w:val="24"/>
        </w:rPr>
      </w:pPr>
      <w:r w:rsidRPr="00C13C80">
        <w:rPr>
          <w:rFonts w:cstheme="minorHAnsi"/>
          <w:sz w:val="24"/>
          <w:szCs w:val="24"/>
        </w:rPr>
        <w:t>The ramp up for AML patients can be seen in Table 1. The patient should be ramped-up to the target dose before initiating azole prophylaxis. This can be described to the patient and provided in the handout the pharmacist will use to educate the patient</w:t>
      </w:r>
    </w:p>
    <w:p w14:paraId="1386ACBF" w14:textId="212CECA4" w:rsidR="00E32F93" w:rsidRDefault="00E32F93" w:rsidP="00E32F93">
      <w:pPr>
        <w:spacing w:after="0" w:line="240" w:lineRule="auto"/>
        <w:rPr>
          <w:rFonts w:cstheme="minorHAnsi"/>
          <w:sz w:val="24"/>
          <w:szCs w:val="24"/>
        </w:rPr>
      </w:pPr>
    </w:p>
    <w:p w14:paraId="537F1915" w14:textId="2839567D" w:rsidR="00093D93" w:rsidRDefault="00093D93" w:rsidP="00E32F93">
      <w:pPr>
        <w:spacing w:after="0" w:line="240" w:lineRule="auto"/>
        <w:rPr>
          <w:rFonts w:cstheme="minorHAnsi"/>
          <w:sz w:val="24"/>
          <w:szCs w:val="24"/>
        </w:rPr>
      </w:pPr>
    </w:p>
    <w:p w14:paraId="3AB7C59D" w14:textId="580D68CA" w:rsidR="00093D93" w:rsidRDefault="00093D93" w:rsidP="00E32F93">
      <w:pPr>
        <w:spacing w:after="0" w:line="240" w:lineRule="auto"/>
        <w:rPr>
          <w:rFonts w:cstheme="minorHAnsi"/>
          <w:sz w:val="24"/>
          <w:szCs w:val="24"/>
        </w:rPr>
      </w:pPr>
    </w:p>
    <w:p w14:paraId="1579F649" w14:textId="427FE144" w:rsidR="00093D93" w:rsidRDefault="00093D93" w:rsidP="00E32F93">
      <w:pPr>
        <w:spacing w:after="0" w:line="240" w:lineRule="auto"/>
        <w:rPr>
          <w:rFonts w:cstheme="minorHAnsi"/>
          <w:sz w:val="24"/>
          <w:szCs w:val="24"/>
        </w:rPr>
      </w:pPr>
    </w:p>
    <w:p w14:paraId="3EF1C84B" w14:textId="713461C0" w:rsidR="00093D93" w:rsidRDefault="00093D93" w:rsidP="00E32F93">
      <w:pPr>
        <w:spacing w:after="0" w:line="240" w:lineRule="auto"/>
        <w:rPr>
          <w:rFonts w:cstheme="minorHAnsi"/>
          <w:sz w:val="24"/>
          <w:szCs w:val="24"/>
        </w:rPr>
      </w:pPr>
    </w:p>
    <w:p w14:paraId="0196F65E" w14:textId="77777777" w:rsidR="00093D93" w:rsidRPr="00C13C80" w:rsidRDefault="00093D93" w:rsidP="00E32F93">
      <w:pPr>
        <w:spacing w:after="0" w:line="240" w:lineRule="auto"/>
        <w:rPr>
          <w:rFonts w:cstheme="minorHAnsi"/>
          <w:sz w:val="24"/>
          <w:szCs w:val="24"/>
        </w:rPr>
      </w:pPr>
    </w:p>
    <w:p w14:paraId="309DE0EC" w14:textId="77777777" w:rsidR="00E32F93" w:rsidRPr="00C13C80" w:rsidRDefault="00E32F93" w:rsidP="00E32F93">
      <w:pPr>
        <w:spacing w:after="0" w:line="240" w:lineRule="auto"/>
        <w:rPr>
          <w:rFonts w:cstheme="minorHAnsi"/>
          <w:b/>
          <w:sz w:val="24"/>
          <w:szCs w:val="24"/>
        </w:rPr>
      </w:pPr>
      <w:r w:rsidRPr="00C13C80">
        <w:rPr>
          <w:rFonts w:cstheme="minorHAnsi"/>
          <w:b/>
          <w:sz w:val="24"/>
          <w:szCs w:val="24"/>
        </w:rPr>
        <w:lastRenderedPageBreak/>
        <w:t>Table 1. AML venetoclax ramp-up (per package insert)</w:t>
      </w:r>
    </w:p>
    <w:tbl>
      <w:tblPr>
        <w:tblStyle w:val="TableGrid"/>
        <w:tblW w:w="0" w:type="auto"/>
        <w:tblLook w:val="04A0" w:firstRow="1" w:lastRow="0" w:firstColumn="1" w:lastColumn="0" w:noHBand="0" w:noVBand="1"/>
      </w:tblPr>
      <w:tblGrid>
        <w:gridCol w:w="2222"/>
        <w:gridCol w:w="2438"/>
        <w:gridCol w:w="2438"/>
        <w:gridCol w:w="2437"/>
      </w:tblGrid>
      <w:tr w:rsidR="00A10AB6" w:rsidRPr="00C13C80" w14:paraId="09DD6EC9" w14:textId="0C7DE19E" w:rsidTr="00A10AB6">
        <w:tc>
          <w:tcPr>
            <w:tcW w:w="2222" w:type="dxa"/>
          </w:tcPr>
          <w:p w14:paraId="33CA86CA" w14:textId="77777777" w:rsidR="00A10AB6" w:rsidRPr="00C13C80" w:rsidRDefault="00A10AB6" w:rsidP="00D25C4D">
            <w:pPr>
              <w:jc w:val="center"/>
              <w:rPr>
                <w:rFonts w:cstheme="minorHAnsi"/>
                <w:sz w:val="24"/>
                <w:szCs w:val="24"/>
              </w:rPr>
            </w:pPr>
          </w:p>
        </w:tc>
        <w:tc>
          <w:tcPr>
            <w:tcW w:w="7313" w:type="dxa"/>
            <w:gridSpan w:val="3"/>
          </w:tcPr>
          <w:p w14:paraId="5445122F" w14:textId="33C2D9D3" w:rsidR="00A10AB6" w:rsidRPr="00C13C80" w:rsidRDefault="00A10AB6" w:rsidP="00D25C4D">
            <w:pPr>
              <w:jc w:val="center"/>
              <w:rPr>
                <w:rFonts w:cstheme="minorHAnsi"/>
                <w:b/>
                <w:sz w:val="24"/>
                <w:szCs w:val="24"/>
              </w:rPr>
            </w:pPr>
            <w:r w:rsidRPr="00C13C80">
              <w:rPr>
                <w:rFonts w:cstheme="minorHAnsi"/>
                <w:b/>
                <w:sz w:val="24"/>
                <w:szCs w:val="24"/>
              </w:rPr>
              <w:t>Venetoclax Daily Dose</w:t>
            </w:r>
          </w:p>
        </w:tc>
      </w:tr>
      <w:tr w:rsidR="00A10AB6" w:rsidRPr="00C13C80" w14:paraId="04F01AF2" w14:textId="78D78038" w:rsidTr="00A10AB6">
        <w:tc>
          <w:tcPr>
            <w:tcW w:w="2222" w:type="dxa"/>
          </w:tcPr>
          <w:p w14:paraId="0EEFDC21" w14:textId="77777777" w:rsidR="00A10AB6" w:rsidRPr="00C13C80" w:rsidRDefault="00A10AB6" w:rsidP="00D25C4D">
            <w:pPr>
              <w:jc w:val="center"/>
              <w:rPr>
                <w:rFonts w:cstheme="minorHAnsi"/>
                <w:sz w:val="24"/>
                <w:szCs w:val="24"/>
              </w:rPr>
            </w:pPr>
            <w:r w:rsidRPr="00C13C80">
              <w:rPr>
                <w:rFonts w:cstheme="minorHAnsi"/>
                <w:sz w:val="24"/>
                <w:szCs w:val="24"/>
              </w:rPr>
              <w:t>Day 1</w:t>
            </w:r>
          </w:p>
        </w:tc>
        <w:tc>
          <w:tcPr>
            <w:tcW w:w="7313" w:type="dxa"/>
            <w:gridSpan w:val="3"/>
          </w:tcPr>
          <w:p w14:paraId="7E5EDACD" w14:textId="558B3367" w:rsidR="00A10AB6" w:rsidRPr="00C13C80" w:rsidRDefault="00A10AB6" w:rsidP="00D25C4D">
            <w:pPr>
              <w:jc w:val="center"/>
              <w:rPr>
                <w:rFonts w:cstheme="minorHAnsi"/>
                <w:sz w:val="24"/>
                <w:szCs w:val="24"/>
              </w:rPr>
            </w:pPr>
            <w:r w:rsidRPr="00C13C80">
              <w:rPr>
                <w:rFonts w:cstheme="minorHAnsi"/>
                <w:sz w:val="24"/>
                <w:szCs w:val="24"/>
              </w:rPr>
              <w:t>100 mg</w:t>
            </w:r>
          </w:p>
        </w:tc>
      </w:tr>
      <w:tr w:rsidR="00A10AB6" w:rsidRPr="00C13C80" w14:paraId="66905010" w14:textId="17FCF16C" w:rsidTr="00A10AB6">
        <w:tc>
          <w:tcPr>
            <w:tcW w:w="2222" w:type="dxa"/>
          </w:tcPr>
          <w:p w14:paraId="0A467336" w14:textId="77777777" w:rsidR="00A10AB6" w:rsidRPr="00C13C80" w:rsidRDefault="00A10AB6" w:rsidP="00D25C4D">
            <w:pPr>
              <w:jc w:val="center"/>
              <w:rPr>
                <w:rFonts w:cstheme="minorHAnsi"/>
                <w:sz w:val="24"/>
                <w:szCs w:val="24"/>
              </w:rPr>
            </w:pPr>
            <w:r w:rsidRPr="00C13C80">
              <w:rPr>
                <w:rFonts w:cstheme="minorHAnsi"/>
                <w:sz w:val="24"/>
                <w:szCs w:val="24"/>
              </w:rPr>
              <w:t>Day 2</w:t>
            </w:r>
          </w:p>
        </w:tc>
        <w:tc>
          <w:tcPr>
            <w:tcW w:w="7313" w:type="dxa"/>
            <w:gridSpan w:val="3"/>
          </w:tcPr>
          <w:p w14:paraId="5DC674F4" w14:textId="04A6BF6C" w:rsidR="00A10AB6" w:rsidRPr="00C13C80" w:rsidRDefault="00A10AB6" w:rsidP="00D25C4D">
            <w:pPr>
              <w:jc w:val="center"/>
              <w:rPr>
                <w:rFonts w:cstheme="minorHAnsi"/>
                <w:sz w:val="24"/>
                <w:szCs w:val="24"/>
              </w:rPr>
            </w:pPr>
            <w:r w:rsidRPr="00C13C80">
              <w:rPr>
                <w:rFonts w:cstheme="minorHAnsi"/>
                <w:sz w:val="24"/>
                <w:szCs w:val="24"/>
              </w:rPr>
              <w:t>200 mg</w:t>
            </w:r>
          </w:p>
        </w:tc>
      </w:tr>
      <w:tr w:rsidR="00A10AB6" w:rsidRPr="00C13C80" w14:paraId="283D3354" w14:textId="2181A1BD" w:rsidTr="00A10AB6">
        <w:tc>
          <w:tcPr>
            <w:tcW w:w="2222" w:type="dxa"/>
          </w:tcPr>
          <w:p w14:paraId="495C751E" w14:textId="77777777" w:rsidR="00A10AB6" w:rsidRPr="00C13C80" w:rsidRDefault="00A10AB6" w:rsidP="00D25C4D">
            <w:pPr>
              <w:jc w:val="center"/>
              <w:rPr>
                <w:rFonts w:cstheme="minorHAnsi"/>
                <w:sz w:val="24"/>
                <w:szCs w:val="24"/>
              </w:rPr>
            </w:pPr>
            <w:r w:rsidRPr="00C13C80">
              <w:rPr>
                <w:rFonts w:cstheme="minorHAnsi"/>
                <w:sz w:val="24"/>
                <w:szCs w:val="24"/>
              </w:rPr>
              <w:t>Day 3</w:t>
            </w:r>
          </w:p>
        </w:tc>
        <w:tc>
          <w:tcPr>
            <w:tcW w:w="7313" w:type="dxa"/>
            <w:gridSpan w:val="3"/>
          </w:tcPr>
          <w:p w14:paraId="0526951F" w14:textId="6C5BD70B" w:rsidR="00A10AB6" w:rsidRPr="00C13C80" w:rsidRDefault="00A10AB6" w:rsidP="00D25C4D">
            <w:pPr>
              <w:jc w:val="center"/>
              <w:rPr>
                <w:rFonts w:cstheme="minorHAnsi"/>
                <w:sz w:val="24"/>
                <w:szCs w:val="24"/>
              </w:rPr>
            </w:pPr>
            <w:r w:rsidRPr="00C13C80">
              <w:rPr>
                <w:rFonts w:cstheme="minorHAnsi"/>
                <w:sz w:val="24"/>
                <w:szCs w:val="24"/>
              </w:rPr>
              <w:t>400 mg</w:t>
            </w:r>
          </w:p>
        </w:tc>
      </w:tr>
      <w:tr w:rsidR="00A10AB6" w:rsidRPr="00C13C80" w14:paraId="213DB2A9" w14:textId="34338859" w:rsidTr="00A10AB6">
        <w:tc>
          <w:tcPr>
            <w:tcW w:w="2222" w:type="dxa"/>
            <w:vAlign w:val="center"/>
          </w:tcPr>
          <w:p w14:paraId="4EE6E752" w14:textId="77777777" w:rsidR="00A10AB6" w:rsidRPr="00C13C80" w:rsidRDefault="00A10AB6" w:rsidP="00D25C4D">
            <w:pPr>
              <w:jc w:val="center"/>
              <w:rPr>
                <w:rFonts w:cstheme="minorHAnsi"/>
                <w:sz w:val="24"/>
                <w:szCs w:val="24"/>
              </w:rPr>
            </w:pPr>
            <w:r w:rsidRPr="00C13C80">
              <w:rPr>
                <w:rFonts w:cstheme="minorHAnsi"/>
                <w:sz w:val="24"/>
                <w:szCs w:val="24"/>
              </w:rPr>
              <w:t>Day 4</w:t>
            </w:r>
          </w:p>
          <w:p w14:paraId="0B450B69" w14:textId="77777777" w:rsidR="00A10AB6" w:rsidRPr="00C13C80" w:rsidRDefault="00A10AB6" w:rsidP="00D25C4D">
            <w:pPr>
              <w:jc w:val="center"/>
              <w:rPr>
                <w:rFonts w:cstheme="minorHAnsi"/>
                <w:sz w:val="24"/>
                <w:szCs w:val="24"/>
              </w:rPr>
            </w:pPr>
            <w:r w:rsidRPr="00C13C80">
              <w:rPr>
                <w:rFonts w:cstheme="minorHAnsi"/>
                <w:sz w:val="24"/>
                <w:szCs w:val="24"/>
              </w:rPr>
              <w:t>and beyond</w:t>
            </w:r>
          </w:p>
        </w:tc>
        <w:tc>
          <w:tcPr>
            <w:tcW w:w="2438" w:type="dxa"/>
          </w:tcPr>
          <w:p w14:paraId="72D36DB8" w14:textId="77777777" w:rsidR="00A10AB6" w:rsidRPr="00C13C80" w:rsidRDefault="00A10AB6" w:rsidP="00D25C4D">
            <w:pPr>
              <w:jc w:val="center"/>
              <w:rPr>
                <w:rFonts w:cstheme="minorHAnsi"/>
                <w:sz w:val="24"/>
                <w:szCs w:val="24"/>
              </w:rPr>
            </w:pPr>
            <w:r w:rsidRPr="00C13C80">
              <w:rPr>
                <w:rFonts w:cstheme="minorHAnsi"/>
                <w:sz w:val="24"/>
                <w:szCs w:val="24"/>
              </w:rPr>
              <w:t>400 mg</w:t>
            </w:r>
          </w:p>
          <w:p w14:paraId="34251CFD" w14:textId="77777777" w:rsidR="00A10AB6" w:rsidRPr="00C13C80" w:rsidRDefault="00A10AB6" w:rsidP="00D25C4D">
            <w:pPr>
              <w:jc w:val="center"/>
              <w:rPr>
                <w:rFonts w:cstheme="minorHAnsi"/>
                <w:sz w:val="24"/>
                <w:szCs w:val="24"/>
              </w:rPr>
            </w:pPr>
            <w:r w:rsidRPr="00C13C80">
              <w:rPr>
                <w:rFonts w:cstheme="minorHAnsi"/>
                <w:sz w:val="24"/>
                <w:szCs w:val="24"/>
              </w:rPr>
              <w:t xml:space="preserve">in combination with </w:t>
            </w:r>
          </w:p>
          <w:p w14:paraId="0ED5D42E" w14:textId="77777777" w:rsidR="00A10AB6" w:rsidRPr="00C13C80" w:rsidRDefault="00A10AB6" w:rsidP="00D25C4D">
            <w:pPr>
              <w:jc w:val="center"/>
              <w:rPr>
                <w:rFonts w:cstheme="minorHAnsi"/>
                <w:sz w:val="24"/>
                <w:szCs w:val="24"/>
              </w:rPr>
            </w:pPr>
            <w:r w:rsidRPr="00C13C80">
              <w:rPr>
                <w:rFonts w:cstheme="minorHAnsi"/>
                <w:sz w:val="24"/>
                <w:szCs w:val="24"/>
              </w:rPr>
              <w:t>azacitidine or decitabine</w:t>
            </w:r>
          </w:p>
        </w:tc>
        <w:tc>
          <w:tcPr>
            <w:tcW w:w="2438" w:type="dxa"/>
          </w:tcPr>
          <w:p w14:paraId="3C399A04" w14:textId="77777777" w:rsidR="00A10AB6" w:rsidRPr="00C13C80" w:rsidRDefault="00A10AB6" w:rsidP="00D25C4D">
            <w:pPr>
              <w:jc w:val="center"/>
              <w:rPr>
                <w:rFonts w:cstheme="minorHAnsi"/>
                <w:sz w:val="24"/>
                <w:szCs w:val="24"/>
              </w:rPr>
            </w:pPr>
            <w:r w:rsidRPr="00C13C80">
              <w:rPr>
                <w:rFonts w:cstheme="minorHAnsi"/>
                <w:sz w:val="24"/>
                <w:szCs w:val="24"/>
              </w:rPr>
              <w:t xml:space="preserve">600 mg </w:t>
            </w:r>
          </w:p>
          <w:p w14:paraId="08D652DD" w14:textId="77777777" w:rsidR="00A10AB6" w:rsidRPr="00C13C80" w:rsidRDefault="00A10AB6" w:rsidP="00D25C4D">
            <w:pPr>
              <w:jc w:val="center"/>
              <w:rPr>
                <w:rFonts w:cstheme="minorHAnsi"/>
                <w:sz w:val="24"/>
                <w:szCs w:val="24"/>
              </w:rPr>
            </w:pPr>
            <w:r w:rsidRPr="00C13C80">
              <w:rPr>
                <w:rFonts w:cstheme="minorHAnsi"/>
                <w:sz w:val="24"/>
                <w:szCs w:val="24"/>
              </w:rPr>
              <w:t>in combination with</w:t>
            </w:r>
          </w:p>
          <w:p w14:paraId="21359FBC" w14:textId="77777777" w:rsidR="00A10AB6" w:rsidRPr="00C13C80" w:rsidRDefault="00A10AB6" w:rsidP="00D25C4D">
            <w:pPr>
              <w:jc w:val="center"/>
              <w:rPr>
                <w:rFonts w:cstheme="minorHAnsi"/>
                <w:sz w:val="24"/>
                <w:szCs w:val="24"/>
              </w:rPr>
            </w:pPr>
            <w:r w:rsidRPr="00C13C80">
              <w:rPr>
                <w:rFonts w:cstheme="minorHAnsi"/>
                <w:sz w:val="24"/>
                <w:szCs w:val="24"/>
              </w:rPr>
              <w:t xml:space="preserve"> LDAC</w:t>
            </w:r>
          </w:p>
        </w:tc>
        <w:tc>
          <w:tcPr>
            <w:tcW w:w="2437" w:type="dxa"/>
          </w:tcPr>
          <w:p w14:paraId="61957FB4" w14:textId="77777777" w:rsidR="00A10AB6" w:rsidRDefault="00A10AB6" w:rsidP="00D25C4D">
            <w:pPr>
              <w:jc w:val="center"/>
              <w:rPr>
                <w:rFonts w:cstheme="minorHAnsi"/>
                <w:sz w:val="24"/>
                <w:szCs w:val="24"/>
              </w:rPr>
            </w:pPr>
            <w:r w:rsidRPr="00C13C80">
              <w:rPr>
                <w:rFonts w:cstheme="minorHAnsi"/>
                <w:sz w:val="24"/>
                <w:szCs w:val="24"/>
              </w:rPr>
              <w:t>800 mg when venetoclax used as monotherapy</w:t>
            </w:r>
          </w:p>
          <w:p w14:paraId="3802A01D" w14:textId="76D50B43" w:rsidR="00C13C80" w:rsidRPr="00C13C80" w:rsidRDefault="00C13C80" w:rsidP="00D25C4D">
            <w:pPr>
              <w:jc w:val="center"/>
              <w:rPr>
                <w:rFonts w:cstheme="minorHAnsi"/>
                <w:sz w:val="24"/>
                <w:szCs w:val="24"/>
              </w:rPr>
            </w:pPr>
            <w:r>
              <w:rPr>
                <w:rFonts w:cstheme="minorHAnsi"/>
                <w:sz w:val="24"/>
                <w:szCs w:val="24"/>
              </w:rPr>
              <w:t>(Konopleva et al)</w:t>
            </w:r>
          </w:p>
        </w:tc>
      </w:tr>
    </w:tbl>
    <w:p w14:paraId="56FBBC2F" w14:textId="4A32300D" w:rsidR="00E32F93" w:rsidRPr="00C13C80" w:rsidRDefault="00E32F93" w:rsidP="00CA7149">
      <w:pPr>
        <w:spacing w:after="0" w:line="240" w:lineRule="auto"/>
        <w:rPr>
          <w:rFonts w:cstheme="minorHAnsi"/>
          <w:sz w:val="24"/>
          <w:szCs w:val="24"/>
        </w:rPr>
      </w:pPr>
    </w:p>
    <w:p w14:paraId="026A3692" w14:textId="3FBC3C55" w:rsidR="00A10AB6" w:rsidRPr="00C13C80" w:rsidRDefault="00A10AB6" w:rsidP="00CA7149">
      <w:pPr>
        <w:spacing w:after="0" w:line="240" w:lineRule="auto"/>
        <w:rPr>
          <w:rFonts w:cstheme="minorHAnsi"/>
          <w:sz w:val="24"/>
          <w:szCs w:val="24"/>
        </w:rPr>
      </w:pPr>
    </w:p>
    <w:p w14:paraId="229CDB0A" w14:textId="725DD01E" w:rsidR="00A10AB6" w:rsidRPr="00C13C80" w:rsidRDefault="00A10AB6" w:rsidP="00CA7149">
      <w:pPr>
        <w:spacing w:after="0" w:line="240" w:lineRule="auto"/>
        <w:rPr>
          <w:rFonts w:cstheme="minorHAnsi"/>
          <w:sz w:val="24"/>
          <w:szCs w:val="24"/>
        </w:rPr>
      </w:pPr>
    </w:p>
    <w:p w14:paraId="126F3929" w14:textId="1576AA64" w:rsidR="00E32F93" w:rsidRPr="00C13C80" w:rsidRDefault="00E32F93" w:rsidP="00A10AB6">
      <w:pPr>
        <w:pStyle w:val="ListParagraph"/>
        <w:numPr>
          <w:ilvl w:val="0"/>
          <w:numId w:val="17"/>
        </w:numPr>
        <w:spacing w:after="0" w:line="240" w:lineRule="auto"/>
        <w:rPr>
          <w:rFonts w:cstheme="minorHAnsi"/>
          <w:sz w:val="24"/>
          <w:szCs w:val="24"/>
        </w:rPr>
      </w:pPr>
      <w:r w:rsidRPr="00C13C80">
        <w:rPr>
          <w:rFonts w:cstheme="minorHAnsi"/>
          <w:sz w:val="24"/>
          <w:szCs w:val="24"/>
        </w:rPr>
        <w:t>A prescription should be sent for allopurinol 300 mg daily to the</w:t>
      </w:r>
      <w:r w:rsidR="003B45C3">
        <w:rPr>
          <w:rFonts w:cstheme="minorHAnsi"/>
          <w:sz w:val="24"/>
          <w:szCs w:val="24"/>
        </w:rPr>
        <w:t xml:space="preserve"> patient’s</w:t>
      </w:r>
      <w:r w:rsidRPr="00C13C80">
        <w:rPr>
          <w:rFonts w:cstheme="minorHAnsi"/>
          <w:sz w:val="24"/>
          <w:szCs w:val="24"/>
        </w:rPr>
        <w:t xml:space="preserve"> local pharmacy or our Central Outpatient Pharmacy.</w:t>
      </w:r>
    </w:p>
    <w:p w14:paraId="6E401433" w14:textId="435A898E" w:rsidR="00A10AB6" w:rsidRPr="00C13C80" w:rsidRDefault="00E32F93" w:rsidP="00A10AB6">
      <w:pPr>
        <w:pStyle w:val="ListParagraph"/>
        <w:numPr>
          <w:ilvl w:val="1"/>
          <w:numId w:val="17"/>
        </w:numPr>
        <w:spacing w:after="0" w:line="240" w:lineRule="auto"/>
        <w:rPr>
          <w:rFonts w:cstheme="minorHAnsi"/>
          <w:sz w:val="24"/>
          <w:szCs w:val="24"/>
        </w:rPr>
      </w:pPr>
      <w:r w:rsidRPr="00C13C80">
        <w:rPr>
          <w:rFonts w:cstheme="minorHAnsi"/>
          <w:sz w:val="24"/>
          <w:szCs w:val="24"/>
        </w:rPr>
        <w:t>Ideally a patient should begin this medication at least 48 – 72 hours prior to initiation of venetoclax, but generally is not harmful to go ahead and initiate allopurinol on the day venetoclax prescription is sent so it is not forgotten.</w:t>
      </w:r>
    </w:p>
    <w:p w14:paraId="73AB5CDB" w14:textId="10163D64" w:rsidR="00A10AB6" w:rsidRPr="00C13C80" w:rsidRDefault="00A10AB6" w:rsidP="00A10AB6">
      <w:pPr>
        <w:spacing w:after="0" w:line="240" w:lineRule="auto"/>
        <w:rPr>
          <w:rFonts w:cstheme="minorHAnsi"/>
          <w:sz w:val="24"/>
          <w:szCs w:val="24"/>
        </w:rPr>
      </w:pPr>
    </w:p>
    <w:p w14:paraId="4525EE54" w14:textId="77777777" w:rsidR="00CA7149" w:rsidRPr="00C13C80" w:rsidRDefault="00CA7149" w:rsidP="00CA7149">
      <w:pPr>
        <w:spacing w:after="0" w:line="240" w:lineRule="auto"/>
        <w:rPr>
          <w:rFonts w:cstheme="minorHAnsi"/>
          <w:b/>
          <w:sz w:val="24"/>
          <w:szCs w:val="24"/>
        </w:rPr>
      </w:pPr>
      <w:r w:rsidRPr="00C13C80">
        <w:rPr>
          <w:rFonts w:cstheme="minorHAnsi"/>
          <w:b/>
          <w:sz w:val="24"/>
          <w:szCs w:val="24"/>
        </w:rPr>
        <w:t>Infection prophylaxis</w:t>
      </w:r>
      <w:r w:rsidR="00E32F93" w:rsidRPr="00C13C80">
        <w:rPr>
          <w:rFonts w:cstheme="minorHAnsi"/>
          <w:b/>
          <w:sz w:val="24"/>
          <w:szCs w:val="24"/>
        </w:rPr>
        <w:t xml:space="preserve"> and Drug-Drug Interactions</w:t>
      </w:r>
      <w:r w:rsidRPr="00C13C80">
        <w:rPr>
          <w:rFonts w:cstheme="minorHAnsi"/>
          <w:b/>
          <w:sz w:val="24"/>
          <w:szCs w:val="24"/>
        </w:rPr>
        <w:t xml:space="preserve">: </w:t>
      </w:r>
    </w:p>
    <w:p w14:paraId="5B34D558" w14:textId="77777777" w:rsidR="00E32F93" w:rsidRPr="00C13C80" w:rsidRDefault="00E32F93" w:rsidP="00E32F93">
      <w:pPr>
        <w:pStyle w:val="ListParagraph"/>
        <w:numPr>
          <w:ilvl w:val="0"/>
          <w:numId w:val="12"/>
        </w:numPr>
        <w:spacing w:after="0" w:line="240" w:lineRule="auto"/>
        <w:rPr>
          <w:rFonts w:cstheme="minorHAnsi"/>
          <w:sz w:val="24"/>
          <w:szCs w:val="24"/>
        </w:rPr>
      </w:pPr>
      <w:r w:rsidRPr="00C13C80">
        <w:rPr>
          <w:rFonts w:cstheme="minorHAnsi"/>
          <w:sz w:val="24"/>
          <w:szCs w:val="24"/>
        </w:rPr>
        <w:t xml:space="preserve">Venetoclax is a substrate of CYP3A4 and PGP.  To date, there has been limited study of co-administration of venetoclax with moderate or strong inhibitors of these proteins.  </w:t>
      </w:r>
    </w:p>
    <w:p w14:paraId="14E98017" w14:textId="58A888DB" w:rsidR="00E32F93" w:rsidRDefault="00E32F93" w:rsidP="00E32F93">
      <w:pPr>
        <w:pStyle w:val="ListParagraph"/>
        <w:numPr>
          <w:ilvl w:val="0"/>
          <w:numId w:val="12"/>
        </w:numPr>
        <w:spacing w:after="0" w:line="240" w:lineRule="auto"/>
        <w:rPr>
          <w:rFonts w:cstheme="minorHAnsi"/>
          <w:sz w:val="24"/>
          <w:szCs w:val="24"/>
        </w:rPr>
      </w:pPr>
      <w:r w:rsidRPr="00C13C80">
        <w:rPr>
          <w:rFonts w:cstheme="minorHAnsi"/>
          <w:sz w:val="24"/>
          <w:szCs w:val="24"/>
        </w:rPr>
        <w:t>Review the medication list for interactions. The pharmacy team is happy to help. Some common interacting medications include: azole antifungals (discussed below), erythromycin, diltiazem, verapamil, amiodarone,</w:t>
      </w:r>
      <w:r w:rsidR="0027541F">
        <w:rPr>
          <w:rFonts w:cstheme="minorHAnsi"/>
          <w:sz w:val="24"/>
          <w:szCs w:val="24"/>
        </w:rPr>
        <w:t xml:space="preserve"> carvedilol,</w:t>
      </w:r>
      <w:r w:rsidRPr="00C13C80">
        <w:rPr>
          <w:rFonts w:cstheme="minorHAnsi"/>
          <w:sz w:val="24"/>
          <w:szCs w:val="24"/>
        </w:rPr>
        <w:t xml:space="preserve"> and protease inhibitors.</w:t>
      </w:r>
    </w:p>
    <w:p w14:paraId="54971964" w14:textId="04736FEF" w:rsidR="009C2804" w:rsidRDefault="009C2804" w:rsidP="00B95C74">
      <w:pPr>
        <w:pStyle w:val="ListParagraph"/>
        <w:numPr>
          <w:ilvl w:val="1"/>
          <w:numId w:val="12"/>
        </w:numPr>
        <w:spacing w:after="0" w:line="240" w:lineRule="auto"/>
        <w:rPr>
          <w:rFonts w:cstheme="minorHAnsi"/>
          <w:sz w:val="24"/>
          <w:szCs w:val="24"/>
        </w:rPr>
      </w:pPr>
      <w:r>
        <w:rPr>
          <w:rFonts w:cstheme="minorHAnsi"/>
          <w:sz w:val="24"/>
          <w:szCs w:val="24"/>
        </w:rPr>
        <w:t xml:space="preserve">Recommend </w:t>
      </w:r>
      <w:r w:rsidR="003B7F75">
        <w:rPr>
          <w:rFonts w:cstheme="minorHAnsi"/>
          <w:sz w:val="24"/>
          <w:szCs w:val="24"/>
        </w:rPr>
        <w:t>changing</w:t>
      </w:r>
      <w:r>
        <w:rPr>
          <w:rFonts w:cstheme="minorHAnsi"/>
          <w:sz w:val="24"/>
          <w:szCs w:val="24"/>
        </w:rPr>
        <w:t xml:space="preserve"> diltiazem, verapamil, and carvedilol if possible</w:t>
      </w:r>
      <w:r w:rsidR="003B7F75">
        <w:rPr>
          <w:rFonts w:cstheme="minorHAnsi"/>
          <w:sz w:val="24"/>
          <w:szCs w:val="24"/>
        </w:rPr>
        <w:t xml:space="preserve"> in consultation with their PCP or cardiologist</w:t>
      </w:r>
    </w:p>
    <w:p w14:paraId="798660F4" w14:textId="3D42B0CE" w:rsidR="009C2804" w:rsidRPr="00C13C80" w:rsidRDefault="009C2804" w:rsidP="00B95C74">
      <w:pPr>
        <w:pStyle w:val="ListParagraph"/>
        <w:numPr>
          <w:ilvl w:val="1"/>
          <w:numId w:val="12"/>
        </w:numPr>
        <w:spacing w:after="0" w:line="240" w:lineRule="auto"/>
        <w:rPr>
          <w:rFonts w:cstheme="minorHAnsi"/>
          <w:sz w:val="24"/>
          <w:szCs w:val="24"/>
        </w:rPr>
      </w:pPr>
      <w:r>
        <w:rPr>
          <w:rFonts w:cstheme="minorHAnsi"/>
          <w:sz w:val="24"/>
          <w:szCs w:val="24"/>
        </w:rPr>
        <w:t>Recommend 50% dose reduction of venetoclax with amiodarone</w:t>
      </w:r>
    </w:p>
    <w:p w14:paraId="5CE3B424" w14:textId="77777777" w:rsidR="00CA7149" w:rsidRPr="00C13C80" w:rsidRDefault="00CA7149" w:rsidP="00CA7149">
      <w:pPr>
        <w:pStyle w:val="ListParagraph"/>
        <w:numPr>
          <w:ilvl w:val="0"/>
          <w:numId w:val="12"/>
        </w:numPr>
        <w:spacing w:after="0" w:line="240" w:lineRule="auto"/>
        <w:rPr>
          <w:rFonts w:cstheme="minorHAnsi"/>
          <w:sz w:val="24"/>
          <w:szCs w:val="24"/>
        </w:rPr>
      </w:pPr>
      <w:r w:rsidRPr="00C13C80">
        <w:rPr>
          <w:rFonts w:cstheme="minorHAnsi"/>
          <w:sz w:val="24"/>
          <w:szCs w:val="24"/>
        </w:rPr>
        <w:t>All AML patients should start valacyclovir 500 mg daily upon diagnosis for prevention of HSV and VZV infections.</w:t>
      </w:r>
    </w:p>
    <w:p w14:paraId="2682B55A" w14:textId="77777777" w:rsidR="00CA7149" w:rsidRPr="00C13C80" w:rsidRDefault="00CA7149" w:rsidP="00CA7149">
      <w:pPr>
        <w:pStyle w:val="ListParagraph"/>
        <w:numPr>
          <w:ilvl w:val="0"/>
          <w:numId w:val="12"/>
        </w:numPr>
        <w:spacing w:after="0" w:line="240" w:lineRule="auto"/>
        <w:rPr>
          <w:rFonts w:cstheme="minorHAnsi"/>
          <w:sz w:val="24"/>
          <w:szCs w:val="24"/>
        </w:rPr>
      </w:pPr>
      <w:r w:rsidRPr="00C13C80">
        <w:rPr>
          <w:rFonts w:cstheme="minorHAnsi"/>
          <w:sz w:val="24"/>
          <w:szCs w:val="24"/>
        </w:rPr>
        <w:t>For ANC &lt; 0.5, initiate levofloxacin 500 mg daily.</w:t>
      </w:r>
    </w:p>
    <w:p w14:paraId="7F74033A" w14:textId="67FF409C" w:rsidR="00CA7149" w:rsidRPr="00C13C80" w:rsidRDefault="00CA7149" w:rsidP="00CA7149">
      <w:pPr>
        <w:pStyle w:val="ListParagraph"/>
        <w:numPr>
          <w:ilvl w:val="0"/>
          <w:numId w:val="12"/>
        </w:numPr>
        <w:spacing w:after="0" w:line="240" w:lineRule="auto"/>
        <w:rPr>
          <w:rFonts w:cstheme="minorHAnsi"/>
          <w:sz w:val="24"/>
          <w:szCs w:val="24"/>
        </w:rPr>
      </w:pPr>
      <w:r w:rsidRPr="00C13C80">
        <w:rPr>
          <w:rFonts w:cstheme="minorHAnsi"/>
          <w:sz w:val="24"/>
          <w:szCs w:val="24"/>
        </w:rPr>
        <w:t xml:space="preserve">For ANC &lt; 0.5, initiate an azole antifungal (prefer posaconazole) </w:t>
      </w:r>
      <w:r w:rsidR="00B67ADB">
        <w:rPr>
          <w:rFonts w:cstheme="minorHAnsi"/>
          <w:b/>
          <w:sz w:val="24"/>
          <w:szCs w:val="24"/>
        </w:rPr>
        <w:t>Antifungal medications will be sent for authorization and copay assessment upon treatment initiation. Prophylaxis should start no sooner than Day 8 in patients with an ANC &lt; 0.5, followed by a venetoclax dose reduction</w:t>
      </w:r>
      <w:r w:rsidR="00CB1304">
        <w:rPr>
          <w:rFonts w:cstheme="minorHAnsi"/>
          <w:b/>
          <w:sz w:val="24"/>
          <w:szCs w:val="24"/>
        </w:rPr>
        <w:t xml:space="preserve"> (Ref: ASCO/IDSA Guidelines)</w:t>
      </w:r>
      <w:r w:rsidR="00B67ADB">
        <w:rPr>
          <w:rFonts w:cstheme="minorHAnsi"/>
          <w:b/>
          <w:sz w:val="24"/>
          <w:szCs w:val="24"/>
        </w:rPr>
        <w:t>.</w:t>
      </w:r>
    </w:p>
    <w:p w14:paraId="20ACB77E" w14:textId="77777777" w:rsidR="00CA7149" w:rsidRPr="00C13C80" w:rsidRDefault="00CA7149" w:rsidP="00CA7149">
      <w:pPr>
        <w:pStyle w:val="ListParagraph"/>
        <w:numPr>
          <w:ilvl w:val="1"/>
          <w:numId w:val="12"/>
        </w:numPr>
        <w:spacing w:after="0" w:line="240" w:lineRule="auto"/>
        <w:rPr>
          <w:rFonts w:cstheme="minorHAnsi"/>
          <w:sz w:val="24"/>
          <w:szCs w:val="24"/>
        </w:rPr>
      </w:pPr>
      <w:r w:rsidRPr="00C13C80">
        <w:rPr>
          <w:rFonts w:cstheme="minorHAnsi"/>
          <w:sz w:val="24"/>
          <w:szCs w:val="24"/>
        </w:rPr>
        <w:t>Posaconazole and voriconazole are strong CYP3A4 inhibitors, and require a 75% dose reduction of venetoclax. Therefore when the target dose for venetoclax is 400 mg, the appropriate dose while on a strong CYP3A4 inhibitor is 100 mg daily.</w:t>
      </w:r>
    </w:p>
    <w:p w14:paraId="1D081426" w14:textId="77777777" w:rsidR="00CA7149" w:rsidRPr="00C13C80" w:rsidRDefault="00CA7149" w:rsidP="00CA7149">
      <w:pPr>
        <w:pStyle w:val="ListParagraph"/>
        <w:numPr>
          <w:ilvl w:val="2"/>
          <w:numId w:val="12"/>
        </w:numPr>
        <w:spacing w:after="0" w:line="240" w:lineRule="auto"/>
        <w:rPr>
          <w:rFonts w:cstheme="minorHAnsi"/>
          <w:sz w:val="24"/>
          <w:szCs w:val="24"/>
        </w:rPr>
      </w:pPr>
      <w:r w:rsidRPr="00C13C80">
        <w:rPr>
          <w:rFonts w:cstheme="minorHAnsi"/>
          <w:sz w:val="24"/>
          <w:szCs w:val="24"/>
        </w:rPr>
        <w:t xml:space="preserve">When patients are on concomitant strong CY3A4 inhibitors and LDAC in which the target dose of venetoclax is 600 mg, venetoclax should be dosed at 100 mg daily due to limitations of tablet sizes </w:t>
      </w:r>
    </w:p>
    <w:p w14:paraId="59F9B232" w14:textId="7E78326A" w:rsidR="00CA7149" w:rsidRPr="00C13C80" w:rsidRDefault="00CA7149" w:rsidP="00CA7149">
      <w:pPr>
        <w:pStyle w:val="ListParagraph"/>
        <w:numPr>
          <w:ilvl w:val="1"/>
          <w:numId w:val="12"/>
        </w:numPr>
        <w:spacing w:after="0" w:line="240" w:lineRule="auto"/>
        <w:rPr>
          <w:rFonts w:cstheme="minorHAnsi"/>
          <w:sz w:val="24"/>
          <w:szCs w:val="24"/>
        </w:rPr>
      </w:pPr>
      <w:r w:rsidRPr="00C13C80">
        <w:rPr>
          <w:rFonts w:cstheme="minorHAnsi"/>
          <w:sz w:val="24"/>
          <w:szCs w:val="24"/>
        </w:rPr>
        <w:t>Fluconazole</w:t>
      </w:r>
      <w:r w:rsidR="00555248">
        <w:rPr>
          <w:rFonts w:cstheme="minorHAnsi"/>
          <w:sz w:val="24"/>
          <w:szCs w:val="24"/>
        </w:rPr>
        <w:t xml:space="preserve"> (400 mg)</w:t>
      </w:r>
      <w:r w:rsidRPr="00C13C80">
        <w:rPr>
          <w:rFonts w:cstheme="minorHAnsi"/>
          <w:sz w:val="24"/>
          <w:szCs w:val="24"/>
        </w:rPr>
        <w:t xml:space="preserve"> and isavuconazole are moderate CYP3A4 inhibitors, and require a 50% dose reduction of venetoclax. Therefore when the target dose for venetoclax is 400 mg, the appropriate dose while on a moderate CYP3A4 inhibitor is 200 mg daily.</w:t>
      </w:r>
    </w:p>
    <w:p w14:paraId="5B361170" w14:textId="77777777" w:rsidR="00CA7149" w:rsidRPr="00C13C80" w:rsidRDefault="00CA7149" w:rsidP="00CA7149">
      <w:pPr>
        <w:pStyle w:val="ListParagraph"/>
        <w:numPr>
          <w:ilvl w:val="2"/>
          <w:numId w:val="12"/>
        </w:numPr>
        <w:spacing w:after="0" w:line="240" w:lineRule="auto"/>
        <w:rPr>
          <w:rFonts w:cstheme="minorHAnsi"/>
          <w:sz w:val="24"/>
          <w:szCs w:val="24"/>
        </w:rPr>
      </w:pPr>
      <w:r w:rsidRPr="00C13C80">
        <w:rPr>
          <w:rFonts w:cstheme="minorHAnsi"/>
          <w:sz w:val="24"/>
          <w:szCs w:val="24"/>
        </w:rPr>
        <w:lastRenderedPageBreak/>
        <w:t>When patients are on concomitant moderate CY3A4 inhibitors and LDAC in which the target dose of venetoclax is 600 mg, venetoclax should be dosed at 300 mg daily.</w:t>
      </w:r>
    </w:p>
    <w:p w14:paraId="4447D765" w14:textId="77777777" w:rsidR="00CA7149" w:rsidRPr="00C13C80" w:rsidRDefault="00CA7149" w:rsidP="00CA7149">
      <w:pPr>
        <w:pStyle w:val="ListParagraph"/>
        <w:numPr>
          <w:ilvl w:val="1"/>
          <w:numId w:val="12"/>
        </w:numPr>
        <w:spacing w:after="0" w:line="240" w:lineRule="auto"/>
        <w:rPr>
          <w:rFonts w:cstheme="minorHAnsi"/>
          <w:sz w:val="24"/>
          <w:szCs w:val="24"/>
        </w:rPr>
      </w:pPr>
      <w:r w:rsidRPr="00C13C80">
        <w:rPr>
          <w:rFonts w:cstheme="minorHAnsi"/>
          <w:sz w:val="24"/>
          <w:szCs w:val="24"/>
        </w:rPr>
        <w:t>When these agents are being added on for prophylaxis in this setting, loading is not necessary for posaconazole on the outpatient side; however, patients starting isavuconazole should be LOADED (372 mg every 8 hours x  doses then 372 mg daily thereafter)</w:t>
      </w:r>
    </w:p>
    <w:p w14:paraId="131F1223" w14:textId="77777777" w:rsidR="00CA7149" w:rsidRPr="00C13C80" w:rsidRDefault="00CA7149" w:rsidP="00CA7149">
      <w:pPr>
        <w:pStyle w:val="ListParagraph"/>
        <w:numPr>
          <w:ilvl w:val="1"/>
          <w:numId w:val="12"/>
        </w:numPr>
        <w:spacing w:after="0" w:line="240" w:lineRule="auto"/>
        <w:rPr>
          <w:rFonts w:cstheme="minorHAnsi"/>
          <w:sz w:val="24"/>
          <w:szCs w:val="24"/>
        </w:rPr>
      </w:pPr>
      <w:r w:rsidRPr="00C13C80">
        <w:rPr>
          <w:rFonts w:cstheme="minorHAnsi"/>
          <w:sz w:val="24"/>
          <w:szCs w:val="24"/>
        </w:rPr>
        <w:t>If a patient’s ANC is &lt; 0.5 prior to the ramp-up, the recommendation would be:</w:t>
      </w:r>
    </w:p>
    <w:p w14:paraId="2A079764" w14:textId="77777777" w:rsidR="00CA7149" w:rsidRPr="00C13C80" w:rsidRDefault="00CA7149" w:rsidP="00CA7149">
      <w:pPr>
        <w:pStyle w:val="ListParagraph"/>
        <w:numPr>
          <w:ilvl w:val="2"/>
          <w:numId w:val="12"/>
        </w:numPr>
        <w:spacing w:after="0" w:line="240" w:lineRule="auto"/>
        <w:rPr>
          <w:rFonts w:cstheme="minorHAnsi"/>
          <w:sz w:val="24"/>
          <w:szCs w:val="24"/>
        </w:rPr>
      </w:pPr>
      <w:r w:rsidRPr="00C13C80">
        <w:rPr>
          <w:rFonts w:cstheme="minorHAnsi"/>
          <w:sz w:val="24"/>
          <w:szCs w:val="24"/>
        </w:rPr>
        <w:t>Allow adequate time for azole wash-out prior to venetoclax initiation (at least 5 days for posaconazole)</w:t>
      </w:r>
    </w:p>
    <w:p w14:paraId="0047A688" w14:textId="77777777" w:rsidR="00CA7149" w:rsidRPr="00C13C80" w:rsidRDefault="00CA7149" w:rsidP="00CA7149">
      <w:pPr>
        <w:pStyle w:val="ListParagraph"/>
        <w:numPr>
          <w:ilvl w:val="2"/>
          <w:numId w:val="12"/>
        </w:numPr>
        <w:spacing w:after="0" w:line="240" w:lineRule="auto"/>
        <w:rPr>
          <w:rFonts w:cstheme="minorHAnsi"/>
          <w:sz w:val="24"/>
          <w:szCs w:val="24"/>
        </w:rPr>
      </w:pPr>
      <w:r w:rsidRPr="00C13C80">
        <w:rPr>
          <w:rFonts w:cstheme="minorHAnsi"/>
          <w:sz w:val="24"/>
          <w:szCs w:val="24"/>
        </w:rPr>
        <w:t>Complete full ramp-up to target dose of venetoclax</w:t>
      </w:r>
    </w:p>
    <w:p w14:paraId="57CC62A8" w14:textId="77777777" w:rsidR="00CA7149" w:rsidRPr="00C13C80" w:rsidRDefault="00CA7149" w:rsidP="00CA7149">
      <w:pPr>
        <w:pStyle w:val="ListParagraph"/>
        <w:numPr>
          <w:ilvl w:val="2"/>
          <w:numId w:val="12"/>
        </w:numPr>
        <w:spacing w:after="0" w:line="240" w:lineRule="auto"/>
        <w:rPr>
          <w:rFonts w:cstheme="minorHAnsi"/>
          <w:sz w:val="24"/>
          <w:szCs w:val="24"/>
        </w:rPr>
      </w:pPr>
      <w:r w:rsidRPr="00C13C80">
        <w:rPr>
          <w:rFonts w:cstheme="minorHAnsi"/>
          <w:sz w:val="24"/>
          <w:szCs w:val="24"/>
        </w:rPr>
        <w:t xml:space="preserve">On Day 8 of Cycle 1, if patient’s TLS labs stable, dose reduce venetoclax and initiate azole per recommendations below. They should see a provider on this day for evaluation. </w:t>
      </w:r>
    </w:p>
    <w:p w14:paraId="56F1AA29" w14:textId="77777777" w:rsidR="00CA7149" w:rsidRPr="00C13C80" w:rsidRDefault="00CA7149" w:rsidP="00CA7149">
      <w:pPr>
        <w:spacing w:after="0" w:line="240" w:lineRule="auto"/>
        <w:rPr>
          <w:rFonts w:cstheme="minorHAnsi"/>
          <w:sz w:val="24"/>
          <w:szCs w:val="24"/>
        </w:rPr>
      </w:pPr>
    </w:p>
    <w:p w14:paraId="1019DB09" w14:textId="77777777" w:rsidR="00CA7149" w:rsidRPr="00C13C80" w:rsidRDefault="00CA7149" w:rsidP="00CA7149">
      <w:pPr>
        <w:spacing w:after="0" w:line="240" w:lineRule="auto"/>
        <w:rPr>
          <w:rFonts w:cstheme="minorHAnsi"/>
          <w:sz w:val="24"/>
          <w:szCs w:val="24"/>
        </w:rPr>
      </w:pPr>
      <w:r w:rsidRPr="00C13C80">
        <w:rPr>
          <w:rFonts w:cstheme="minorHAnsi"/>
          <w:sz w:val="24"/>
          <w:szCs w:val="24"/>
        </w:rPr>
        <w:t>Dosing recommendations for initiation and discontinuation of azole antifungals</w:t>
      </w:r>
    </w:p>
    <w:p w14:paraId="4AF4B093" w14:textId="77777777" w:rsidR="00CA7149" w:rsidRPr="00C13C80" w:rsidRDefault="00CA7149" w:rsidP="00CA7149">
      <w:pPr>
        <w:pStyle w:val="ListParagraph"/>
        <w:numPr>
          <w:ilvl w:val="0"/>
          <w:numId w:val="16"/>
        </w:numPr>
        <w:spacing w:after="0" w:line="240" w:lineRule="auto"/>
        <w:rPr>
          <w:rFonts w:cstheme="minorHAnsi"/>
          <w:sz w:val="24"/>
          <w:szCs w:val="24"/>
        </w:rPr>
      </w:pPr>
      <w:r w:rsidRPr="00C13C80">
        <w:rPr>
          <w:rFonts w:cstheme="minorHAnsi"/>
          <w:sz w:val="24"/>
          <w:szCs w:val="24"/>
        </w:rPr>
        <w:t>If at target dose of venetoclax and wish to START an azole antifungal the following is recommended:</w:t>
      </w:r>
    </w:p>
    <w:p w14:paraId="2826DC1C" w14:textId="34186B56" w:rsidR="00CA7149" w:rsidRPr="00C13C80" w:rsidRDefault="00CA7149" w:rsidP="00CA7149">
      <w:pPr>
        <w:pStyle w:val="ListParagraph"/>
        <w:numPr>
          <w:ilvl w:val="1"/>
          <w:numId w:val="16"/>
        </w:numPr>
        <w:spacing w:after="0" w:line="240" w:lineRule="auto"/>
        <w:rPr>
          <w:rFonts w:cstheme="minorHAnsi"/>
          <w:sz w:val="24"/>
          <w:szCs w:val="24"/>
        </w:rPr>
      </w:pPr>
      <w:r w:rsidRPr="00C13C80">
        <w:rPr>
          <w:rFonts w:cstheme="minorHAnsi"/>
          <w:sz w:val="24"/>
          <w:szCs w:val="24"/>
        </w:rPr>
        <w:t>Dose reduce venetoclax to 100 mg if starting posaconazole or voriconazole OR dose reduce venetoclax to 200 mg if starting fluconazole</w:t>
      </w:r>
      <w:r w:rsidR="00555248">
        <w:rPr>
          <w:rFonts w:cstheme="minorHAnsi"/>
          <w:sz w:val="24"/>
          <w:szCs w:val="24"/>
        </w:rPr>
        <w:t xml:space="preserve"> 400 mg</w:t>
      </w:r>
      <w:bookmarkStart w:id="0" w:name="_GoBack"/>
      <w:bookmarkEnd w:id="0"/>
      <w:r w:rsidRPr="00C13C80">
        <w:rPr>
          <w:rFonts w:cstheme="minorHAnsi"/>
          <w:sz w:val="24"/>
          <w:szCs w:val="24"/>
        </w:rPr>
        <w:t xml:space="preserve"> or isavuconazole </w:t>
      </w:r>
    </w:p>
    <w:p w14:paraId="75D6D671" w14:textId="77777777" w:rsidR="00CA7149" w:rsidRPr="00C13C80" w:rsidRDefault="00CA7149" w:rsidP="00CA7149">
      <w:pPr>
        <w:pStyle w:val="ListParagraph"/>
        <w:numPr>
          <w:ilvl w:val="1"/>
          <w:numId w:val="16"/>
        </w:numPr>
        <w:spacing w:after="0" w:line="240" w:lineRule="auto"/>
        <w:rPr>
          <w:rFonts w:cstheme="minorHAnsi"/>
          <w:sz w:val="24"/>
          <w:szCs w:val="24"/>
        </w:rPr>
      </w:pPr>
      <w:r w:rsidRPr="00C13C80">
        <w:rPr>
          <w:rFonts w:cstheme="minorHAnsi"/>
          <w:sz w:val="24"/>
          <w:szCs w:val="24"/>
        </w:rPr>
        <w:t>Initiate the azole (isavuconazole: LOAD; posaconazole: 300 mg daily)</w:t>
      </w:r>
    </w:p>
    <w:p w14:paraId="4DED96B3" w14:textId="47106B0C" w:rsidR="00CA7149" w:rsidRPr="00C13C80" w:rsidRDefault="00CA7149" w:rsidP="00CA7149">
      <w:pPr>
        <w:pStyle w:val="ListParagraph"/>
        <w:numPr>
          <w:ilvl w:val="1"/>
          <w:numId w:val="16"/>
        </w:numPr>
        <w:spacing w:after="0" w:line="240" w:lineRule="auto"/>
        <w:rPr>
          <w:rFonts w:cstheme="minorHAnsi"/>
          <w:sz w:val="24"/>
          <w:szCs w:val="24"/>
        </w:rPr>
      </w:pPr>
      <w:r w:rsidRPr="00C13C80">
        <w:rPr>
          <w:rFonts w:cstheme="minorHAnsi"/>
          <w:sz w:val="24"/>
          <w:szCs w:val="24"/>
        </w:rPr>
        <w:t>Continue on venetoclax 100 mg or 200 mg</w:t>
      </w:r>
    </w:p>
    <w:p w14:paraId="7D8625CB" w14:textId="77777777" w:rsidR="006E50C4" w:rsidRPr="00C13C80" w:rsidRDefault="006E50C4" w:rsidP="006E50C4">
      <w:pPr>
        <w:pStyle w:val="ListParagraph"/>
        <w:numPr>
          <w:ilvl w:val="0"/>
          <w:numId w:val="16"/>
        </w:numPr>
        <w:spacing w:after="0" w:line="240" w:lineRule="auto"/>
        <w:rPr>
          <w:rFonts w:cstheme="minorHAnsi"/>
          <w:sz w:val="24"/>
          <w:szCs w:val="24"/>
        </w:rPr>
      </w:pPr>
      <w:r w:rsidRPr="00C13C80">
        <w:rPr>
          <w:rFonts w:cstheme="minorHAnsi"/>
          <w:sz w:val="24"/>
          <w:szCs w:val="24"/>
        </w:rPr>
        <w:t xml:space="preserve">If at target dose of venetoclax while on an azole antifungal, and wish to STOP the azole, the following is recommended: </w:t>
      </w:r>
    </w:p>
    <w:p w14:paraId="1E64E904" w14:textId="77777777" w:rsidR="006E50C4" w:rsidRPr="00C13C80" w:rsidRDefault="006E50C4" w:rsidP="006E50C4">
      <w:pPr>
        <w:pStyle w:val="ListParagraph"/>
        <w:numPr>
          <w:ilvl w:val="1"/>
          <w:numId w:val="16"/>
        </w:numPr>
        <w:spacing w:after="0" w:line="240" w:lineRule="auto"/>
        <w:rPr>
          <w:rFonts w:cstheme="minorHAnsi"/>
          <w:sz w:val="24"/>
          <w:szCs w:val="24"/>
        </w:rPr>
      </w:pPr>
      <w:r w:rsidRPr="00C13C80">
        <w:rPr>
          <w:rFonts w:cstheme="minorHAnsi"/>
          <w:sz w:val="24"/>
          <w:szCs w:val="24"/>
        </w:rPr>
        <w:t xml:space="preserve">Discontinue the azole antifungal </w:t>
      </w:r>
    </w:p>
    <w:p w14:paraId="204BF321" w14:textId="041F90B0" w:rsidR="006E50C4" w:rsidRPr="00C13C80" w:rsidRDefault="006E50C4" w:rsidP="006E50C4">
      <w:pPr>
        <w:pStyle w:val="ListParagraph"/>
        <w:numPr>
          <w:ilvl w:val="1"/>
          <w:numId w:val="16"/>
        </w:numPr>
        <w:spacing w:after="0" w:line="240" w:lineRule="auto"/>
        <w:rPr>
          <w:rFonts w:cstheme="minorHAnsi"/>
          <w:sz w:val="24"/>
          <w:szCs w:val="24"/>
        </w:rPr>
      </w:pPr>
      <w:r w:rsidRPr="00C13C80">
        <w:rPr>
          <w:rFonts w:cstheme="minorHAnsi"/>
          <w:sz w:val="24"/>
          <w:szCs w:val="24"/>
        </w:rPr>
        <w:t xml:space="preserve">At 48-72 hours, increase venetoclax </w:t>
      </w:r>
      <w:r w:rsidR="0076714F">
        <w:rPr>
          <w:rFonts w:cstheme="minorHAnsi"/>
          <w:sz w:val="24"/>
          <w:szCs w:val="24"/>
        </w:rPr>
        <w:t>to target dose</w:t>
      </w:r>
    </w:p>
    <w:p w14:paraId="1CBB0711" w14:textId="77777777" w:rsidR="006E50C4" w:rsidRPr="00C13C80" w:rsidRDefault="006E50C4" w:rsidP="006E50C4">
      <w:pPr>
        <w:pStyle w:val="ListParagraph"/>
        <w:numPr>
          <w:ilvl w:val="2"/>
          <w:numId w:val="16"/>
        </w:numPr>
        <w:spacing w:after="0" w:line="240" w:lineRule="auto"/>
        <w:rPr>
          <w:rFonts w:cstheme="minorHAnsi"/>
          <w:sz w:val="24"/>
          <w:szCs w:val="24"/>
        </w:rPr>
      </w:pPr>
      <w:r w:rsidRPr="00C13C80">
        <w:rPr>
          <w:rFonts w:cstheme="minorHAnsi"/>
          <w:sz w:val="24"/>
          <w:szCs w:val="24"/>
        </w:rPr>
        <w:t xml:space="preserve">It should be noted that isavuconazole has a very long half-life. Monitor patient closely for toxicity. Patients should be outside risk of TLS </w:t>
      </w:r>
    </w:p>
    <w:p w14:paraId="4E0AD4FE" w14:textId="77777777" w:rsidR="006E50C4" w:rsidRPr="00C13C80" w:rsidRDefault="006E50C4" w:rsidP="006E50C4">
      <w:pPr>
        <w:pStyle w:val="ListParagraph"/>
        <w:spacing w:after="0" w:line="240" w:lineRule="auto"/>
        <w:ind w:left="2160"/>
        <w:rPr>
          <w:rFonts w:cstheme="minorHAnsi"/>
          <w:sz w:val="24"/>
          <w:szCs w:val="24"/>
        </w:rPr>
      </w:pPr>
    </w:p>
    <w:p w14:paraId="1099E87F" w14:textId="77777777" w:rsidR="006E50C4" w:rsidRPr="00C13C80" w:rsidRDefault="006E50C4" w:rsidP="006E50C4">
      <w:pPr>
        <w:spacing w:after="0" w:line="240" w:lineRule="auto"/>
        <w:rPr>
          <w:rFonts w:cstheme="minorHAnsi"/>
          <w:sz w:val="24"/>
          <w:szCs w:val="24"/>
        </w:rPr>
      </w:pPr>
      <w:r w:rsidRPr="00C13C80">
        <w:rPr>
          <w:rFonts w:cstheme="minorHAnsi"/>
          <w:sz w:val="24"/>
          <w:szCs w:val="24"/>
        </w:rPr>
        <w:t>Dosing recommendations for ramp-up while on concomitant azole therapy</w:t>
      </w:r>
    </w:p>
    <w:p w14:paraId="7B7909E7" w14:textId="77777777" w:rsidR="006E50C4" w:rsidRPr="00C13C80" w:rsidRDefault="006E50C4" w:rsidP="006E50C4">
      <w:pPr>
        <w:pStyle w:val="ListParagraph"/>
        <w:numPr>
          <w:ilvl w:val="0"/>
          <w:numId w:val="19"/>
        </w:numPr>
        <w:spacing w:after="0" w:line="240" w:lineRule="auto"/>
        <w:rPr>
          <w:rFonts w:cstheme="minorHAnsi"/>
          <w:sz w:val="24"/>
          <w:szCs w:val="24"/>
        </w:rPr>
      </w:pPr>
      <w:r w:rsidRPr="00C13C80">
        <w:rPr>
          <w:rFonts w:cstheme="minorHAnsi"/>
          <w:sz w:val="24"/>
          <w:szCs w:val="24"/>
        </w:rPr>
        <w:t>Patients who require active treatment of an azole antifungal will require a unique ramp-up</w:t>
      </w:r>
    </w:p>
    <w:p w14:paraId="6D7DE4D7" w14:textId="77777777" w:rsidR="006E50C4" w:rsidRPr="00C13C80" w:rsidRDefault="006E50C4" w:rsidP="006E50C4">
      <w:pPr>
        <w:pStyle w:val="ListParagraph"/>
        <w:numPr>
          <w:ilvl w:val="0"/>
          <w:numId w:val="19"/>
        </w:numPr>
        <w:spacing w:after="0" w:line="240" w:lineRule="auto"/>
        <w:rPr>
          <w:rFonts w:cstheme="minorHAnsi"/>
          <w:sz w:val="24"/>
          <w:szCs w:val="24"/>
        </w:rPr>
      </w:pPr>
      <w:r w:rsidRPr="00C13C80">
        <w:rPr>
          <w:rFonts w:cstheme="minorHAnsi"/>
          <w:sz w:val="24"/>
          <w:szCs w:val="24"/>
        </w:rPr>
        <w:t xml:space="preserve">Send a prescription for the Venetoclax Starting Pack (used for CLL ramp-ups). </w:t>
      </w:r>
    </w:p>
    <w:p w14:paraId="11C10B1D" w14:textId="77777777" w:rsidR="006E50C4" w:rsidRPr="00C13C80" w:rsidRDefault="006E50C4" w:rsidP="006E50C4">
      <w:pPr>
        <w:pStyle w:val="ListParagraph"/>
        <w:numPr>
          <w:ilvl w:val="1"/>
          <w:numId w:val="19"/>
        </w:numPr>
        <w:spacing w:after="0" w:line="240" w:lineRule="auto"/>
        <w:rPr>
          <w:rFonts w:cstheme="minorHAnsi"/>
          <w:sz w:val="24"/>
          <w:szCs w:val="24"/>
        </w:rPr>
      </w:pPr>
      <w:r w:rsidRPr="00C13C80">
        <w:rPr>
          <w:rFonts w:cstheme="minorHAnsi"/>
          <w:sz w:val="24"/>
          <w:szCs w:val="24"/>
        </w:rPr>
        <w:t>The dosing pack will likely be shipped to CHIP. This is a good thing since the patient will require very careful and specific instructions of how to use the pack for their ramp-up.</w:t>
      </w:r>
    </w:p>
    <w:p w14:paraId="35D40684" w14:textId="254B4192" w:rsidR="006E50C4" w:rsidRPr="00C13C80" w:rsidRDefault="006E50C4" w:rsidP="006E50C4">
      <w:pPr>
        <w:pStyle w:val="ListParagraph"/>
        <w:numPr>
          <w:ilvl w:val="0"/>
          <w:numId w:val="19"/>
        </w:numPr>
        <w:spacing w:after="0" w:line="240" w:lineRule="auto"/>
        <w:rPr>
          <w:rFonts w:cstheme="minorHAnsi"/>
          <w:sz w:val="24"/>
          <w:szCs w:val="24"/>
        </w:rPr>
      </w:pPr>
      <w:r w:rsidRPr="00C13C80">
        <w:rPr>
          <w:rFonts w:cstheme="minorHAnsi"/>
          <w:sz w:val="24"/>
          <w:szCs w:val="24"/>
        </w:rPr>
        <w:t xml:space="preserve">Follow the following ramp-up, which is based off the package insert ramp-up on posaconazole with the </w:t>
      </w:r>
      <w:r w:rsidR="006B4484">
        <w:rPr>
          <w:rFonts w:cstheme="minorHAnsi"/>
          <w:sz w:val="24"/>
          <w:szCs w:val="24"/>
        </w:rPr>
        <w:t xml:space="preserve">adjustment of the </w:t>
      </w:r>
      <w:r w:rsidRPr="00C13C80">
        <w:rPr>
          <w:rFonts w:cstheme="minorHAnsi"/>
          <w:sz w:val="24"/>
          <w:szCs w:val="24"/>
        </w:rPr>
        <w:t>ta</w:t>
      </w:r>
      <w:r w:rsidR="006B4484">
        <w:rPr>
          <w:rFonts w:cstheme="minorHAnsi"/>
          <w:sz w:val="24"/>
          <w:szCs w:val="24"/>
        </w:rPr>
        <w:t>rget dose to</w:t>
      </w:r>
      <w:r w:rsidRPr="00C13C80">
        <w:rPr>
          <w:rFonts w:cstheme="minorHAnsi"/>
          <w:sz w:val="24"/>
          <w:szCs w:val="24"/>
        </w:rPr>
        <w:t xml:space="preserve"> 100 mg due to tablet size limitations:</w:t>
      </w:r>
    </w:p>
    <w:p w14:paraId="220ACB86" w14:textId="77777777" w:rsidR="006E50C4" w:rsidRPr="00C13C80" w:rsidRDefault="006E50C4" w:rsidP="006E50C4">
      <w:pPr>
        <w:pStyle w:val="ListParagraph"/>
        <w:numPr>
          <w:ilvl w:val="1"/>
          <w:numId w:val="19"/>
        </w:numPr>
        <w:spacing w:after="0" w:line="240" w:lineRule="auto"/>
        <w:rPr>
          <w:rFonts w:cstheme="minorHAnsi"/>
          <w:sz w:val="24"/>
          <w:szCs w:val="24"/>
        </w:rPr>
      </w:pPr>
      <w:r w:rsidRPr="00C13C80">
        <w:rPr>
          <w:rFonts w:cstheme="minorHAnsi"/>
          <w:sz w:val="24"/>
          <w:szCs w:val="24"/>
        </w:rPr>
        <w:t>Day 1: 10 mg</w:t>
      </w:r>
    </w:p>
    <w:p w14:paraId="132E97CB" w14:textId="77777777" w:rsidR="006E50C4" w:rsidRPr="00C13C80" w:rsidRDefault="006E50C4" w:rsidP="006E50C4">
      <w:pPr>
        <w:pStyle w:val="ListParagraph"/>
        <w:numPr>
          <w:ilvl w:val="1"/>
          <w:numId w:val="19"/>
        </w:numPr>
        <w:spacing w:after="0" w:line="240" w:lineRule="auto"/>
        <w:rPr>
          <w:rFonts w:cstheme="minorHAnsi"/>
          <w:sz w:val="24"/>
          <w:szCs w:val="24"/>
        </w:rPr>
      </w:pPr>
      <w:r w:rsidRPr="00C13C80">
        <w:rPr>
          <w:rFonts w:cstheme="minorHAnsi"/>
          <w:sz w:val="24"/>
          <w:szCs w:val="24"/>
        </w:rPr>
        <w:t>Day 2: 20 mg</w:t>
      </w:r>
    </w:p>
    <w:p w14:paraId="7D81FE7D" w14:textId="77777777" w:rsidR="006E50C4" w:rsidRPr="00C13C80" w:rsidRDefault="006E50C4" w:rsidP="006E50C4">
      <w:pPr>
        <w:pStyle w:val="ListParagraph"/>
        <w:numPr>
          <w:ilvl w:val="1"/>
          <w:numId w:val="19"/>
        </w:numPr>
        <w:spacing w:after="0" w:line="240" w:lineRule="auto"/>
        <w:rPr>
          <w:rFonts w:cstheme="minorHAnsi"/>
          <w:sz w:val="24"/>
          <w:szCs w:val="24"/>
        </w:rPr>
      </w:pPr>
      <w:r w:rsidRPr="00C13C80">
        <w:rPr>
          <w:rFonts w:cstheme="minorHAnsi"/>
          <w:sz w:val="24"/>
          <w:szCs w:val="24"/>
        </w:rPr>
        <w:t>Day 3: 50 mg</w:t>
      </w:r>
    </w:p>
    <w:p w14:paraId="7F0D0701" w14:textId="77777777" w:rsidR="006E50C4" w:rsidRPr="00C13C80" w:rsidRDefault="006E50C4" w:rsidP="006E50C4">
      <w:pPr>
        <w:pStyle w:val="ListParagraph"/>
        <w:numPr>
          <w:ilvl w:val="1"/>
          <w:numId w:val="19"/>
        </w:numPr>
        <w:spacing w:after="0" w:line="240" w:lineRule="auto"/>
        <w:rPr>
          <w:rFonts w:cstheme="minorHAnsi"/>
          <w:sz w:val="24"/>
          <w:szCs w:val="24"/>
        </w:rPr>
      </w:pPr>
      <w:r w:rsidRPr="00C13C80">
        <w:rPr>
          <w:rFonts w:cstheme="minorHAnsi"/>
          <w:sz w:val="24"/>
          <w:szCs w:val="24"/>
        </w:rPr>
        <w:t>Day 4: 70 mg</w:t>
      </w:r>
    </w:p>
    <w:p w14:paraId="31D2AC79" w14:textId="77777777" w:rsidR="006E50C4" w:rsidRPr="00C13C80" w:rsidRDefault="006E50C4" w:rsidP="006E50C4">
      <w:pPr>
        <w:pStyle w:val="ListParagraph"/>
        <w:numPr>
          <w:ilvl w:val="1"/>
          <w:numId w:val="19"/>
        </w:numPr>
        <w:spacing w:after="0" w:line="240" w:lineRule="auto"/>
        <w:rPr>
          <w:rFonts w:cstheme="minorHAnsi"/>
          <w:sz w:val="24"/>
          <w:szCs w:val="24"/>
        </w:rPr>
      </w:pPr>
      <w:r w:rsidRPr="00C13C80">
        <w:rPr>
          <w:rFonts w:cstheme="minorHAnsi"/>
          <w:sz w:val="24"/>
          <w:szCs w:val="24"/>
        </w:rPr>
        <w:t>Day 5 and beyond: 100 mg</w:t>
      </w:r>
    </w:p>
    <w:p w14:paraId="7A2F6237" w14:textId="77777777" w:rsidR="006E50C4" w:rsidRPr="00C13C80" w:rsidRDefault="006E50C4" w:rsidP="006E50C4">
      <w:pPr>
        <w:pStyle w:val="ListParagraph"/>
        <w:numPr>
          <w:ilvl w:val="0"/>
          <w:numId w:val="19"/>
        </w:numPr>
        <w:spacing w:after="0" w:line="240" w:lineRule="auto"/>
        <w:rPr>
          <w:rFonts w:cstheme="minorHAnsi"/>
          <w:sz w:val="24"/>
          <w:szCs w:val="24"/>
        </w:rPr>
      </w:pPr>
      <w:r w:rsidRPr="00C13C80">
        <w:rPr>
          <w:rFonts w:cstheme="minorHAnsi"/>
          <w:sz w:val="24"/>
          <w:szCs w:val="24"/>
        </w:rPr>
        <w:t>A prescription will have to be sent for the 100 mg tablets. Patient has about 3 weeks of therapy within the starting pack as this contains about 21 x 100 mg tablets.</w:t>
      </w:r>
    </w:p>
    <w:p w14:paraId="06D7C408" w14:textId="479AF7DE" w:rsidR="006E50C4" w:rsidRDefault="006E50C4" w:rsidP="006E50C4">
      <w:pPr>
        <w:pStyle w:val="ListParagraph"/>
        <w:spacing w:after="0" w:line="240" w:lineRule="auto"/>
        <w:rPr>
          <w:rFonts w:cstheme="minorHAnsi"/>
          <w:sz w:val="24"/>
          <w:szCs w:val="24"/>
        </w:rPr>
      </w:pPr>
    </w:p>
    <w:p w14:paraId="1F23DFE5" w14:textId="22F12153" w:rsidR="001A2632" w:rsidRDefault="001A2632" w:rsidP="006E50C4">
      <w:pPr>
        <w:pStyle w:val="ListParagraph"/>
        <w:spacing w:after="0" w:line="240" w:lineRule="auto"/>
        <w:rPr>
          <w:rFonts w:cstheme="minorHAnsi"/>
          <w:sz w:val="24"/>
          <w:szCs w:val="24"/>
        </w:rPr>
      </w:pPr>
    </w:p>
    <w:p w14:paraId="17983EE7" w14:textId="0B1B9A38" w:rsidR="001A2632" w:rsidRDefault="001A2632" w:rsidP="006E50C4">
      <w:pPr>
        <w:pStyle w:val="ListParagraph"/>
        <w:spacing w:after="0" w:line="240" w:lineRule="auto"/>
        <w:rPr>
          <w:rFonts w:cstheme="minorHAnsi"/>
          <w:sz w:val="24"/>
          <w:szCs w:val="24"/>
        </w:rPr>
      </w:pPr>
    </w:p>
    <w:p w14:paraId="3CF7FC42" w14:textId="77777777" w:rsidR="001A2632" w:rsidRPr="00C13C80" w:rsidRDefault="001A2632" w:rsidP="006E50C4">
      <w:pPr>
        <w:pStyle w:val="ListParagraph"/>
        <w:spacing w:after="0" w:line="240" w:lineRule="auto"/>
        <w:rPr>
          <w:rFonts w:cstheme="minorHAnsi"/>
          <w:sz w:val="24"/>
          <w:szCs w:val="24"/>
        </w:rPr>
      </w:pPr>
    </w:p>
    <w:p w14:paraId="1E8817B0" w14:textId="77777777" w:rsidR="006E50C4" w:rsidRPr="00C13C80" w:rsidRDefault="006E50C4" w:rsidP="006E50C4">
      <w:pPr>
        <w:spacing w:after="0" w:line="240" w:lineRule="auto"/>
        <w:rPr>
          <w:rFonts w:cstheme="minorHAnsi"/>
          <w:b/>
          <w:sz w:val="24"/>
          <w:szCs w:val="24"/>
        </w:rPr>
      </w:pPr>
      <w:r w:rsidRPr="00C13C80">
        <w:rPr>
          <w:rFonts w:cstheme="minorHAnsi"/>
          <w:b/>
          <w:sz w:val="24"/>
          <w:szCs w:val="24"/>
        </w:rPr>
        <w:lastRenderedPageBreak/>
        <w:t>Management of myelosuppression</w:t>
      </w:r>
    </w:p>
    <w:p w14:paraId="5BE7929C" w14:textId="49FE56FA" w:rsidR="006E50C4" w:rsidRPr="00C13C80" w:rsidRDefault="006E50C4" w:rsidP="006E50C4">
      <w:pPr>
        <w:spacing w:after="0" w:line="240" w:lineRule="auto"/>
        <w:rPr>
          <w:rFonts w:cstheme="minorHAnsi"/>
          <w:sz w:val="24"/>
          <w:szCs w:val="24"/>
        </w:rPr>
      </w:pPr>
      <w:r w:rsidRPr="00C13C80">
        <w:rPr>
          <w:rFonts w:cstheme="minorHAnsi"/>
          <w:sz w:val="24"/>
          <w:szCs w:val="24"/>
        </w:rPr>
        <w:t>All patients should have a bone marrow biopsy for disease assessment after cycle 1 given that median time to response = 1.</w:t>
      </w:r>
      <w:r w:rsidR="001E20B4">
        <w:rPr>
          <w:rFonts w:cstheme="minorHAnsi"/>
          <w:sz w:val="24"/>
          <w:szCs w:val="24"/>
        </w:rPr>
        <w:t>0</w:t>
      </w:r>
      <w:r w:rsidRPr="00C13C80">
        <w:rPr>
          <w:rFonts w:cstheme="minorHAnsi"/>
          <w:sz w:val="24"/>
          <w:szCs w:val="24"/>
        </w:rPr>
        <w:t xml:space="preserve"> months.  Treatment will be adjusted as follows:</w:t>
      </w:r>
    </w:p>
    <w:p w14:paraId="56D42039" w14:textId="7DC6A658" w:rsidR="006E50C4" w:rsidRPr="00C13C80" w:rsidRDefault="006E50C4" w:rsidP="006E50C4">
      <w:pPr>
        <w:pStyle w:val="ListParagraph"/>
        <w:numPr>
          <w:ilvl w:val="0"/>
          <w:numId w:val="21"/>
        </w:numPr>
        <w:spacing w:after="0" w:line="240" w:lineRule="auto"/>
        <w:rPr>
          <w:rFonts w:cstheme="minorHAnsi"/>
          <w:sz w:val="24"/>
          <w:szCs w:val="24"/>
        </w:rPr>
      </w:pPr>
      <w:r w:rsidRPr="00C13C80">
        <w:rPr>
          <w:rFonts w:cstheme="minorHAnsi"/>
          <w:sz w:val="24"/>
          <w:szCs w:val="24"/>
        </w:rPr>
        <w:t xml:space="preserve">Persistent leukemia (e.g. &gt; 5% blasts): Continue for at least 1 more cycle. Unlike the use of HMA’s in the treatment of myelodysplasia, the median time to response was 1 cycle.  There were outliers (e.g. 5 to 13.3 months) but these are the exceptions.  While patients may take several cycles to reach their best response, we would consider a change in regimens if there is no improvement after two cycles.  </w:t>
      </w:r>
    </w:p>
    <w:p w14:paraId="3D9352DD" w14:textId="369383BF" w:rsidR="006E50C4" w:rsidRPr="00C13C80" w:rsidRDefault="006E50C4" w:rsidP="006E50C4">
      <w:pPr>
        <w:pStyle w:val="ListParagraph"/>
        <w:numPr>
          <w:ilvl w:val="0"/>
          <w:numId w:val="21"/>
        </w:numPr>
        <w:spacing w:after="0" w:line="240" w:lineRule="auto"/>
        <w:rPr>
          <w:rFonts w:cstheme="minorHAnsi"/>
          <w:sz w:val="24"/>
          <w:szCs w:val="24"/>
        </w:rPr>
      </w:pPr>
      <w:r w:rsidRPr="00C13C80">
        <w:rPr>
          <w:rFonts w:cstheme="minorHAnsi"/>
          <w:sz w:val="24"/>
          <w:szCs w:val="24"/>
        </w:rPr>
        <w:t xml:space="preserve">The first morphologically leukemia free state (MLFS1, defined as &lt; 5% blasts with 200 cells counted) or CRi with ANC &lt; </w:t>
      </w:r>
      <w:r w:rsidR="001A2632">
        <w:rPr>
          <w:rFonts w:cstheme="minorHAnsi"/>
          <w:sz w:val="24"/>
          <w:szCs w:val="24"/>
        </w:rPr>
        <w:t>1.0 (or 0.5)</w:t>
      </w:r>
      <w:r w:rsidRPr="00C13C80">
        <w:rPr>
          <w:rFonts w:cstheme="minorHAnsi"/>
          <w:sz w:val="24"/>
          <w:szCs w:val="24"/>
        </w:rPr>
        <w:t xml:space="preserve"> or platelets &lt; </w:t>
      </w:r>
      <w:r w:rsidR="001A2632">
        <w:rPr>
          <w:rFonts w:cstheme="minorHAnsi"/>
          <w:sz w:val="24"/>
          <w:szCs w:val="24"/>
        </w:rPr>
        <w:t>50</w:t>
      </w:r>
      <w:r w:rsidRPr="00C13C80">
        <w:rPr>
          <w:rFonts w:cstheme="minorHAnsi"/>
          <w:sz w:val="24"/>
          <w:szCs w:val="24"/>
        </w:rPr>
        <w:t xml:space="preserve">: follow recommendations </w:t>
      </w:r>
      <w:r w:rsidR="001A2632">
        <w:rPr>
          <w:rFonts w:cstheme="minorHAnsi"/>
          <w:sz w:val="24"/>
          <w:szCs w:val="24"/>
        </w:rPr>
        <w:t xml:space="preserve">illustrated in </w:t>
      </w:r>
      <w:r w:rsidR="00AD2C9C">
        <w:rPr>
          <w:rFonts w:cstheme="minorHAnsi"/>
          <w:sz w:val="24"/>
          <w:szCs w:val="24"/>
        </w:rPr>
        <w:t>Table 3.</w:t>
      </w:r>
    </w:p>
    <w:p w14:paraId="3657CA88" w14:textId="6FB2B662" w:rsidR="009C2004" w:rsidRPr="00C13C80" w:rsidRDefault="009C2004" w:rsidP="006E50C4">
      <w:pPr>
        <w:spacing w:after="0" w:line="240" w:lineRule="auto"/>
        <w:rPr>
          <w:rFonts w:cstheme="minorHAnsi"/>
          <w:sz w:val="24"/>
          <w:szCs w:val="24"/>
        </w:rPr>
      </w:pPr>
    </w:p>
    <w:p w14:paraId="7E30C62A" w14:textId="4BDB1315" w:rsidR="006E50C4" w:rsidRPr="00C13C80" w:rsidRDefault="006E50C4" w:rsidP="00C13C80">
      <w:pPr>
        <w:spacing w:after="0"/>
        <w:rPr>
          <w:rFonts w:cstheme="minorHAnsi"/>
          <w:b/>
          <w:sz w:val="20"/>
        </w:rPr>
      </w:pPr>
      <w:r w:rsidRPr="00C13C80">
        <w:rPr>
          <w:rFonts w:cstheme="minorHAnsi"/>
          <w:b/>
        </w:rPr>
        <w:t>Table 2. Recommended monitoring of blood counts while on venetoclax</w:t>
      </w:r>
      <w:r w:rsidR="0076714F">
        <w:rPr>
          <w:rFonts w:cstheme="minorHAnsi"/>
          <w:b/>
        </w:rPr>
        <w:t xml:space="preserve">/azacitidine </w:t>
      </w:r>
      <w:r w:rsidRPr="00C13C80">
        <w:rPr>
          <w:rFonts w:cstheme="minorHAnsi"/>
          <w:b/>
          <w:sz w:val="20"/>
        </w:rPr>
        <w:t xml:space="preserve"> </w:t>
      </w:r>
    </w:p>
    <w:tbl>
      <w:tblPr>
        <w:tblStyle w:val="TableGrid"/>
        <w:tblW w:w="0" w:type="auto"/>
        <w:tblLook w:val="04A0" w:firstRow="1" w:lastRow="0" w:firstColumn="1" w:lastColumn="0" w:noHBand="0" w:noVBand="1"/>
      </w:tblPr>
      <w:tblGrid>
        <w:gridCol w:w="2605"/>
        <w:gridCol w:w="6745"/>
      </w:tblGrid>
      <w:tr w:rsidR="006E50C4" w:rsidRPr="00C13C80" w14:paraId="1B947A08" w14:textId="77777777" w:rsidTr="00513EA8">
        <w:tc>
          <w:tcPr>
            <w:tcW w:w="9350" w:type="dxa"/>
            <w:gridSpan w:val="2"/>
          </w:tcPr>
          <w:p w14:paraId="302F2468" w14:textId="77777777" w:rsidR="006E50C4" w:rsidRPr="00C13C80" w:rsidRDefault="006E50C4" w:rsidP="00513EA8">
            <w:pPr>
              <w:rPr>
                <w:rFonts w:cstheme="minorHAnsi"/>
                <w:b/>
              </w:rPr>
            </w:pPr>
            <w:r w:rsidRPr="00C13C80">
              <w:rPr>
                <w:rFonts w:cstheme="minorHAnsi"/>
                <w:b/>
              </w:rPr>
              <w:t>All patients receive a CBC with differential and CMP per the following recommendations:</w:t>
            </w:r>
          </w:p>
        </w:tc>
      </w:tr>
      <w:tr w:rsidR="006E50C4" w:rsidRPr="00C13C80" w14:paraId="6A53CD4C" w14:textId="77777777" w:rsidTr="00513EA8">
        <w:tc>
          <w:tcPr>
            <w:tcW w:w="2605" w:type="dxa"/>
          </w:tcPr>
          <w:p w14:paraId="2A1A4CFD" w14:textId="77777777" w:rsidR="006E50C4" w:rsidRPr="00C13C80" w:rsidRDefault="006E50C4" w:rsidP="00513EA8">
            <w:pPr>
              <w:rPr>
                <w:rFonts w:cstheme="minorHAnsi"/>
                <w:b/>
                <w:u w:val="single"/>
              </w:rPr>
            </w:pPr>
            <w:r w:rsidRPr="00C13C80">
              <w:rPr>
                <w:rFonts w:cstheme="minorHAnsi"/>
                <w:b/>
                <w:u w:val="single"/>
              </w:rPr>
              <w:t>Cycle 1</w:t>
            </w:r>
          </w:p>
          <w:p w14:paraId="4E0855B5" w14:textId="77777777" w:rsidR="006E50C4" w:rsidRPr="00C13C80" w:rsidRDefault="006E50C4" w:rsidP="00513EA8">
            <w:pPr>
              <w:rPr>
                <w:rFonts w:cstheme="minorHAnsi"/>
              </w:rPr>
            </w:pPr>
            <w:r w:rsidRPr="00C13C80">
              <w:rPr>
                <w:rFonts w:cstheme="minorHAnsi"/>
              </w:rPr>
              <w:t>Week 1</w:t>
            </w:r>
          </w:p>
          <w:p w14:paraId="30CCEBC1" w14:textId="77777777" w:rsidR="006E50C4" w:rsidRPr="00C13C80" w:rsidRDefault="006E50C4" w:rsidP="00513EA8">
            <w:pPr>
              <w:rPr>
                <w:rFonts w:cstheme="minorHAnsi"/>
                <w:b/>
              </w:rPr>
            </w:pPr>
            <w:r w:rsidRPr="00C13C80">
              <w:rPr>
                <w:rFonts w:cstheme="minorHAnsi"/>
              </w:rPr>
              <w:t>Weeks 2 – 4</w:t>
            </w:r>
          </w:p>
        </w:tc>
        <w:tc>
          <w:tcPr>
            <w:tcW w:w="6745" w:type="dxa"/>
          </w:tcPr>
          <w:p w14:paraId="407D0D46" w14:textId="77777777" w:rsidR="006E50C4" w:rsidRPr="00C13C80" w:rsidRDefault="006E50C4" w:rsidP="00513EA8">
            <w:pPr>
              <w:rPr>
                <w:rFonts w:cstheme="minorHAnsi"/>
              </w:rPr>
            </w:pPr>
          </w:p>
          <w:p w14:paraId="18731F2F" w14:textId="4F340158" w:rsidR="006E50C4" w:rsidRPr="00C13C80" w:rsidRDefault="006E50C4" w:rsidP="00513EA8">
            <w:pPr>
              <w:rPr>
                <w:rFonts w:cstheme="minorHAnsi"/>
              </w:rPr>
            </w:pPr>
            <w:r w:rsidRPr="00C13C80">
              <w:rPr>
                <w:rFonts w:cstheme="minorHAnsi"/>
              </w:rPr>
              <w:t>Days 1, 2, 3</w:t>
            </w:r>
            <w:r w:rsidR="00D14091">
              <w:rPr>
                <w:rFonts w:cstheme="minorHAnsi"/>
              </w:rPr>
              <w:t>, 4</w:t>
            </w:r>
            <w:r w:rsidRPr="00C13C80">
              <w:rPr>
                <w:rFonts w:cstheme="minorHAnsi"/>
              </w:rPr>
              <w:t xml:space="preserve"> (ramp-up*) and Day 7</w:t>
            </w:r>
          </w:p>
          <w:p w14:paraId="137FFF01" w14:textId="77777777" w:rsidR="006E50C4" w:rsidRPr="00C13C80" w:rsidRDefault="006E50C4" w:rsidP="00513EA8">
            <w:pPr>
              <w:rPr>
                <w:rFonts w:cstheme="minorHAnsi"/>
              </w:rPr>
            </w:pPr>
            <w:r w:rsidRPr="00C13C80">
              <w:rPr>
                <w:rFonts w:cstheme="minorHAnsi"/>
              </w:rPr>
              <w:t>Weekly</w:t>
            </w:r>
          </w:p>
          <w:p w14:paraId="3066944B" w14:textId="77777777" w:rsidR="006E50C4" w:rsidRPr="00C13C80" w:rsidRDefault="006E50C4" w:rsidP="00513EA8">
            <w:pPr>
              <w:rPr>
                <w:rFonts w:cstheme="minorHAnsi"/>
                <w:b/>
                <w:i/>
              </w:rPr>
            </w:pPr>
            <w:r w:rsidRPr="00C13C80">
              <w:rPr>
                <w:rFonts w:cstheme="minorHAnsi"/>
                <w:i/>
              </w:rPr>
              <w:t>Increase frequency to 2 – 3 times weekly if requiring transfusion support</w:t>
            </w:r>
          </w:p>
        </w:tc>
      </w:tr>
      <w:tr w:rsidR="006E50C4" w:rsidRPr="00C13C80" w14:paraId="5F82F275" w14:textId="77777777" w:rsidTr="00513EA8">
        <w:tc>
          <w:tcPr>
            <w:tcW w:w="2605" w:type="dxa"/>
          </w:tcPr>
          <w:p w14:paraId="2BF7C476" w14:textId="77777777" w:rsidR="006E50C4" w:rsidRPr="00C13C80" w:rsidRDefault="006E50C4" w:rsidP="00513EA8">
            <w:pPr>
              <w:rPr>
                <w:rFonts w:cstheme="minorHAnsi"/>
                <w:b/>
                <w:u w:val="single"/>
              </w:rPr>
            </w:pPr>
            <w:r w:rsidRPr="00C13C80">
              <w:rPr>
                <w:rFonts w:cstheme="minorHAnsi"/>
                <w:b/>
                <w:u w:val="single"/>
              </w:rPr>
              <w:t>Cycle 2 and beyond</w:t>
            </w:r>
          </w:p>
          <w:p w14:paraId="5B38B344" w14:textId="77777777" w:rsidR="006E50C4" w:rsidRPr="00C13C80" w:rsidRDefault="006E50C4" w:rsidP="00513EA8">
            <w:pPr>
              <w:rPr>
                <w:rFonts w:cstheme="minorHAnsi"/>
              </w:rPr>
            </w:pPr>
            <w:r w:rsidRPr="00C13C80">
              <w:rPr>
                <w:rFonts w:cstheme="minorHAnsi"/>
              </w:rPr>
              <w:t>Week 1</w:t>
            </w:r>
          </w:p>
          <w:p w14:paraId="29420DB9" w14:textId="77777777" w:rsidR="006E50C4" w:rsidRPr="00C13C80" w:rsidRDefault="006E50C4" w:rsidP="00513EA8">
            <w:pPr>
              <w:rPr>
                <w:rFonts w:cstheme="minorHAnsi"/>
              </w:rPr>
            </w:pPr>
            <w:r w:rsidRPr="00C13C80">
              <w:rPr>
                <w:rFonts w:cstheme="minorHAnsi"/>
              </w:rPr>
              <w:t xml:space="preserve">Weeks 2 – 4 </w:t>
            </w:r>
          </w:p>
        </w:tc>
        <w:tc>
          <w:tcPr>
            <w:tcW w:w="6745" w:type="dxa"/>
          </w:tcPr>
          <w:p w14:paraId="661539C3" w14:textId="77777777" w:rsidR="006E50C4" w:rsidRPr="00C13C80" w:rsidRDefault="006E50C4" w:rsidP="00513EA8">
            <w:pPr>
              <w:rPr>
                <w:rFonts w:cstheme="minorHAnsi"/>
                <w:b/>
              </w:rPr>
            </w:pPr>
          </w:p>
          <w:p w14:paraId="5755D996" w14:textId="77777777" w:rsidR="006E50C4" w:rsidRPr="00C13C80" w:rsidRDefault="006E50C4" w:rsidP="00513EA8">
            <w:pPr>
              <w:rPr>
                <w:rFonts w:cstheme="minorHAnsi"/>
              </w:rPr>
            </w:pPr>
            <w:r w:rsidRPr="00C13C80">
              <w:rPr>
                <w:rFonts w:cstheme="minorHAnsi"/>
              </w:rPr>
              <w:t xml:space="preserve">Days 1, 4, and 7 </w:t>
            </w:r>
          </w:p>
          <w:p w14:paraId="138930FA" w14:textId="77777777" w:rsidR="006E50C4" w:rsidRPr="00C13C80" w:rsidRDefault="006E50C4" w:rsidP="00513EA8">
            <w:pPr>
              <w:rPr>
                <w:rFonts w:cstheme="minorHAnsi"/>
              </w:rPr>
            </w:pPr>
            <w:r w:rsidRPr="00C13C80">
              <w:rPr>
                <w:rFonts w:cstheme="minorHAnsi"/>
              </w:rPr>
              <w:t>Every 2 weeks</w:t>
            </w:r>
          </w:p>
          <w:p w14:paraId="1128A65D" w14:textId="77777777" w:rsidR="006E50C4" w:rsidRPr="00C13C80" w:rsidRDefault="006E50C4" w:rsidP="00513EA8">
            <w:pPr>
              <w:rPr>
                <w:rFonts w:cstheme="minorHAnsi"/>
              </w:rPr>
            </w:pPr>
            <w:r w:rsidRPr="00C13C80">
              <w:rPr>
                <w:rFonts w:cstheme="minorHAnsi"/>
                <w:i/>
              </w:rPr>
              <w:t>Increase frequency to 2 – 3 times weekly if requiring transfusion support</w:t>
            </w:r>
          </w:p>
        </w:tc>
      </w:tr>
      <w:tr w:rsidR="006E50C4" w:rsidRPr="00C13C80" w14:paraId="34260FBB" w14:textId="77777777" w:rsidTr="00513EA8">
        <w:tc>
          <w:tcPr>
            <w:tcW w:w="9350" w:type="dxa"/>
            <w:gridSpan w:val="2"/>
          </w:tcPr>
          <w:p w14:paraId="3D9C66F1" w14:textId="77777777" w:rsidR="006E50C4" w:rsidRPr="00C13C80" w:rsidRDefault="006E50C4" w:rsidP="00513EA8">
            <w:pPr>
              <w:rPr>
                <w:rFonts w:cstheme="minorHAnsi"/>
              </w:rPr>
            </w:pPr>
            <w:r w:rsidRPr="00C13C80">
              <w:rPr>
                <w:rFonts w:cstheme="minorHAnsi"/>
                <w:b/>
              </w:rPr>
              <w:t xml:space="preserve">* </w:t>
            </w:r>
            <w:r w:rsidRPr="00C13C80">
              <w:rPr>
                <w:rFonts w:cstheme="minorHAnsi"/>
              </w:rPr>
              <w:t>Ramp-up monitoring also includes TLS labs and IV fluids</w:t>
            </w:r>
          </w:p>
        </w:tc>
      </w:tr>
    </w:tbl>
    <w:p w14:paraId="19A7B675" w14:textId="77777777" w:rsidR="001A2632" w:rsidRDefault="001A2632" w:rsidP="00C13C80">
      <w:pPr>
        <w:spacing w:after="0"/>
        <w:rPr>
          <w:rFonts w:cstheme="minorHAnsi"/>
          <w:b/>
        </w:rPr>
      </w:pPr>
    </w:p>
    <w:p w14:paraId="716DC623" w14:textId="48E87A46" w:rsidR="00C64D46" w:rsidRDefault="00C64D46" w:rsidP="00C13C80">
      <w:pPr>
        <w:spacing w:after="0"/>
        <w:rPr>
          <w:rFonts w:cstheme="minorHAnsi"/>
          <w:b/>
        </w:rPr>
      </w:pPr>
      <w:r>
        <w:rPr>
          <w:rFonts w:cstheme="minorHAnsi"/>
          <w:b/>
        </w:rPr>
        <w:t>Suggested follow-up:</w:t>
      </w:r>
    </w:p>
    <w:p w14:paraId="5C015928" w14:textId="26E5363D" w:rsidR="007528CF" w:rsidRPr="00B95C74" w:rsidRDefault="007528CF" w:rsidP="00B95C74">
      <w:pPr>
        <w:pStyle w:val="ListParagraph"/>
        <w:numPr>
          <w:ilvl w:val="0"/>
          <w:numId w:val="24"/>
        </w:numPr>
        <w:spacing w:after="0"/>
        <w:rPr>
          <w:rFonts w:cstheme="minorHAnsi"/>
          <w:b/>
        </w:rPr>
      </w:pPr>
      <w:r>
        <w:rPr>
          <w:rFonts w:cstheme="minorHAnsi"/>
          <w:b/>
        </w:rPr>
        <w:t xml:space="preserve">Utilize smart phrase ‘amlvenetoclaxscheduling’ to help schedule labs, infusion, and provider appointments. </w:t>
      </w:r>
    </w:p>
    <w:p w14:paraId="64B34DA4" w14:textId="5B4BEA47" w:rsidR="007528CF" w:rsidRPr="005854CC" w:rsidRDefault="007528CF" w:rsidP="00B95C74">
      <w:pPr>
        <w:pStyle w:val="ListParagraph"/>
        <w:numPr>
          <w:ilvl w:val="0"/>
          <w:numId w:val="23"/>
        </w:numPr>
        <w:spacing w:after="0" w:line="240" w:lineRule="auto"/>
        <w:rPr>
          <w:rFonts w:cstheme="minorHAnsi"/>
          <w:sz w:val="24"/>
          <w:szCs w:val="24"/>
        </w:rPr>
      </w:pPr>
      <w:r w:rsidRPr="005854CC">
        <w:rPr>
          <w:rFonts w:cstheme="minorHAnsi"/>
          <w:sz w:val="24"/>
          <w:szCs w:val="24"/>
        </w:rPr>
        <w:t>Labs: see Table 2 for recommended monitoring. Lab appointments will be needed for each day labs are required. Labs should exist within the treatment plan.</w:t>
      </w:r>
    </w:p>
    <w:p w14:paraId="0396F40E" w14:textId="6DB570BF" w:rsidR="00C64D46" w:rsidRDefault="00C64D46" w:rsidP="00C64D46">
      <w:pPr>
        <w:pStyle w:val="ListParagraph"/>
        <w:numPr>
          <w:ilvl w:val="0"/>
          <w:numId w:val="22"/>
        </w:numPr>
        <w:spacing w:after="0"/>
        <w:rPr>
          <w:rFonts w:cstheme="minorHAnsi"/>
        </w:rPr>
      </w:pPr>
      <w:r>
        <w:rPr>
          <w:rFonts w:cstheme="minorHAnsi"/>
        </w:rPr>
        <w:t>Cycle 1 Day 1: Patients should see at minimum the CPP in clinic. A provider visit (MD/APP) is optional depending on if the patient had been seen within 1 week by a provider.</w:t>
      </w:r>
      <w:r>
        <w:rPr>
          <w:rFonts w:cstheme="minorHAnsi"/>
        </w:rPr>
        <w:tab/>
      </w:r>
    </w:p>
    <w:p w14:paraId="7FAEA359" w14:textId="419B17BD" w:rsidR="00C64D46" w:rsidRDefault="00C64D46" w:rsidP="00C64D46">
      <w:pPr>
        <w:pStyle w:val="ListParagraph"/>
        <w:numPr>
          <w:ilvl w:val="0"/>
          <w:numId w:val="22"/>
        </w:numPr>
        <w:spacing w:after="0"/>
        <w:rPr>
          <w:rFonts w:cstheme="minorHAnsi"/>
        </w:rPr>
      </w:pPr>
      <w:r>
        <w:rPr>
          <w:rFonts w:cstheme="minorHAnsi"/>
        </w:rPr>
        <w:t>Patient should follow-up with the CPP on D</w:t>
      </w:r>
      <w:r w:rsidR="00F03490">
        <w:rPr>
          <w:rFonts w:cstheme="minorHAnsi"/>
        </w:rPr>
        <w:t xml:space="preserve">8 </w:t>
      </w:r>
      <w:r>
        <w:rPr>
          <w:rFonts w:cstheme="minorHAnsi"/>
        </w:rPr>
        <w:t xml:space="preserve">of C1, </w:t>
      </w:r>
      <w:r w:rsidR="009C2804">
        <w:rPr>
          <w:rFonts w:cstheme="minorHAnsi"/>
        </w:rPr>
        <w:t>and have a provider visit (MD/APP) during week 2 in conjunction with labs.</w:t>
      </w:r>
    </w:p>
    <w:p w14:paraId="7A228CC2" w14:textId="74363B8E" w:rsidR="009C2804" w:rsidRDefault="009C2804" w:rsidP="00B95C74">
      <w:pPr>
        <w:pStyle w:val="ListParagraph"/>
        <w:numPr>
          <w:ilvl w:val="1"/>
          <w:numId w:val="22"/>
        </w:numPr>
        <w:spacing w:after="0"/>
        <w:rPr>
          <w:rFonts w:cstheme="minorHAnsi"/>
        </w:rPr>
      </w:pPr>
      <w:r>
        <w:rPr>
          <w:rFonts w:cstheme="minorHAnsi"/>
        </w:rPr>
        <w:t>Consider Nurse Navigator call on C1D10 for compliance if necessary.</w:t>
      </w:r>
    </w:p>
    <w:p w14:paraId="682FD227" w14:textId="33432188" w:rsidR="009C2804" w:rsidRDefault="009C2804" w:rsidP="002004EA">
      <w:pPr>
        <w:pStyle w:val="ListParagraph"/>
        <w:numPr>
          <w:ilvl w:val="0"/>
          <w:numId w:val="22"/>
        </w:numPr>
        <w:spacing w:after="0"/>
        <w:rPr>
          <w:rFonts w:cstheme="minorHAnsi"/>
        </w:rPr>
      </w:pPr>
      <w:r>
        <w:rPr>
          <w:rFonts w:cstheme="minorHAnsi"/>
        </w:rPr>
        <w:t>Patient should follow up with CPP once between D15</w:t>
      </w:r>
      <w:r w:rsidR="002004EA">
        <w:rPr>
          <w:rFonts w:cstheme="minorHAnsi"/>
        </w:rPr>
        <w:t xml:space="preserve"> </w:t>
      </w:r>
      <w:r w:rsidRPr="002004EA">
        <w:rPr>
          <w:rFonts w:cstheme="minorHAnsi"/>
        </w:rPr>
        <w:t>in conjunction with labs.</w:t>
      </w:r>
    </w:p>
    <w:p w14:paraId="316A309B" w14:textId="00467114" w:rsidR="002004EA" w:rsidRPr="002004EA" w:rsidRDefault="002004EA" w:rsidP="002004EA">
      <w:pPr>
        <w:pStyle w:val="ListParagraph"/>
        <w:numPr>
          <w:ilvl w:val="0"/>
          <w:numId w:val="22"/>
        </w:numPr>
        <w:spacing w:after="0"/>
        <w:rPr>
          <w:rFonts w:cstheme="minorHAnsi"/>
        </w:rPr>
      </w:pPr>
      <w:r>
        <w:rPr>
          <w:rFonts w:cstheme="minorHAnsi"/>
        </w:rPr>
        <w:t>An APP visit should be scheduled mid cycle ~D15-22</w:t>
      </w:r>
    </w:p>
    <w:p w14:paraId="7BC418B8" w14:textId="73F2E0D4" w:rsidR="00C64D46" w:rsidRDefault="00C64D46" w:rsidP="00C64D46">
      <w:pPr>
        <w:pStyle w:val="ListParagraph"/>
        <w:numPr>
          <w:ilvl w:val="0"/>
          <w:numId w:val="22"/>
        </w:numPr>
        <w:spacing w:after="0"/>
        <w:rPr>
          <w:rFonts w:cstheme="minorHAnsi"/>
        </w:rPr>
      </w:pPr>
      <w:r>
        <w:rPr>
          <w:rFonts w:cstheme="minorHAnsi"/>
        </w:rPr>
        <w:t>A bone marrow biopsy should be scheduled</w:t>
      </w:r>
      <w:r w:rsidR="009C2804">
        <w:rPr>
          <w:rFonts w:cstheme="minorHAnsi"/>
        </w:rPr>
        <w:t xml:space="preserve"> between day 24-28 with labs</w:t>
      </w:r>
      <w:r>
        <w:rPr>
          <w:rFonts w:cstheme="minorHAnsi"/>
        </w:rPr>
        <w:t xml:space="preserve"> </w:t>
      </w:r>
      <w:r w:rsidR="009C2804">
        <w:rPr>
          <w:rFonts w:cstheme="minorHAnsi"/>
        </w:rPr>
        <w:t xml:space="preserve">during </w:t>
      </w:r>
      <w:r>
        <w:rPr>
          <w:rFonts w:cstheme="minorHAnsi"/>
        </w:rPr>
        <w:t>Cycle 1 and a provider appointment should follow this</w:t>
      </w:r>
      <w:r w:rsidR="009C2804">
        <w:rPr>
          <w:rFonts w:cstheme="minorHAnsi"/>
        </w:rPr>
        <w:t xml:space="preserve"> during week 4/5 with labs</w:t>
      </w:r>
      <w:r>
        <w:rPr>
          <w:rFonts w:cstheme="minorHAnsi"/>
        </w:rPr>
        <w:t xml:space="preserve"> </w:t>
      </w:r>
      <w:r w:rsidR="009C2804">
        <w:rPr>
          <w:rFonts w:cstheme="minorHAnsi"/>
        </w:rPr>
        <w:t>to</w:t>
      </w:r>
      <w:r>
        <w:rPr>
          <w:rFonts w:cstheme="minorHAnsi"/>
        </w:rPr>
        <w:t xml:space="preserve"> follow-up results</w:t>
      </w:r>
      <w:r w:rsidR="009C2804">
        <w:rPr>
          <w:rFonts w:cstheme="minorHAnsi"/>
        </w:rPr>
        <w:t xml:space="preserve"> of procedure</w:t>
      </w:r>
      <w:r>
        <w:rPr>
          <w:rFonts w:cstheme="minorHAnsi"/>
        </w:rPr>
        <w:t>. This will inform how to proceed with Cycle 2.</w:t>
      </w:r>
    </w:p>
    <w:p w14:paraId="42393AF2" w14:textId="77777777" w:rsidR="00C64D46" w:rsidRDefault="00C64D46" w:rsidP="00C64D46">
      <w:pPr>
        <w:pStyle w:val="ListParagraph"/>
        <w:numPr>
          <w:ilvl w:val="0"/>
          <w:numId w:val="22"/>
        </w:numPr>
        <w:spacing w:after="0"/>
        <w:rPr>
          <w:rFonts w:cstheme="minorHAnsi"/>
        </w:rPr>
      </w:pPr>
      <w:r>
        <w:rPr>
          <w:rFonts w:cstheme="minorHAnsi"/>
        </w:rPr>
        <w:t xml:space="preserve">Cycle 2 and beyond: </w:t>
      </w:r>
    </w:p>
    <w:p w14:paraId="2ECB9EBE" w14:textId="4CFC113B" w:rsidR="00C64D46" w:rsidRDefault="00C64D46" w:rsidP="00C64D46">
      <w:pPr>
        <w:pStyle w:val="ListParagraph"/>
        <w:numPr>
          <w:ilvl w:val="1"/>
          <w:numId w:val="22"/>
        </w:numPr>
        <w:spacing w:after="0"/>
        <w:rPr>
          <w:rFonts w:cstheme="minorHAnsi"/>
        </w:rPr>
      </w:pPr>
      <w:r>
        <w:rPr>
          <w:rFonts w:cstheme="minorHAnsi"/>
        </w:rPr>
        <w:t>Every 1-2 week provider appointments should continue until the patient achieves a CR or until a patient achieves a dosing regimen where they are no longer have prolonged neutropenia requiring chemotherapy dose adjustments.</w:t>
      </w:r>
    </w:p>
    <w:p w14:paraId="0FACB4C3" w14:textId="62DA2A27" w:rsidR="00C64D46" w:rsidRDefault="00C64D46" w:rsidP="00C64D46">
      <w:pPr>
        <w:pStyle w:val="ListParagraph"/>
        <w:numPr>
          <w:ilvl w:val="1"/>
          <w:numId w:val="22"/>
        </w:numPr>
        <w:spacing w:after="0"/>
        <w:rPr>
          <w:rFonts w:cstheme="minorHAnsi"/>
        </w:rPr>
      </w:pPr>
      <w:r>
        <w:rPr>
          <w:rFonts w:cstheme="minorHAnsi"/>
        </w:rPr>
        <w:t xml:space="preserve">Once CR is achieved and lab monitoring is stable, a provider visit every 2-4 weeks is warranted. </w:t>
      </w:r>
    </w:p>
    <w:p w14:paraId="2C6B4893" w14:textId="5185E6A4" w:rsidR="00C64D46" w:rsidRPr="00C64D46" w:rsidRDefault="00C64D46" w:rsidP="00C64D46">
      <w:pPr>
        <w:pStyle w:val="ListParagraph"/>
        <w:numPr>
          <w:ilvl w:val="1"/>
          <w:numId w:val="22"/>
        </w:numPr>
        <w:spacing w:after="0"/>
        <w:rPr>
          <w:rFonts w:cstheme="minorHAnsi"/>
        </w:rPr>
      </w:pPr>
      <w:r w:rsidRPr="00C64D46">
        <w:rPr>
          <w:rFonts w:cstheme="minorHAnsi"/>
        </w:rPr>
        <w:t xml:space="preserve">The CPP can be involved as needed for help with medication dosing adjustments, drug interactions, and initiation of supportive care. </w:t>
      </w:r>
    </w:p>
    <w:p w14:paraId="79F2EA15" w14:textId="77777777" w:rsidR="00C64D46" w:rsidRDefault="00C64D46" w:rsidP="00C13C80">
      <w:pPr>
        <w:spacing w:after="0"/>
        <w:rPr>
          <w:rFonts w:cstheme="minorHAnsi"/>
          <w:b/>
        </w:rPr>
      </w:pPr>
    </w:p>
    <w:p w14:paraId="6417FF67" w14:textId="215AD1AE" w:rsidR="009C2004" w:rsidRDefault="009C2004" w:rsidP="009C2004">
      <w:pPr>
        <w:rPr>
          <w:rFonts w:cstheme="minorHAnsi"/>
        </w:rPr>
      </w:pPr>
    </w:p>
    <w:p w14:paraId="342AD136" w14:textId="43DC8814" w:rsidR="00EE3EFE" w:rsidRDefault="00EE3EFE" w:rsidP="009C2004">
      <w:pPr>
        <w:rPr>
          <w:rFonts w:cstheme="minorHAnsi"/>
        </w:rPr>
      </w:pPr>
    </w:p>
    <w:p w14:paraId="0DBC2333" w14:textId="77777777" w:rsidR="00EE3EFE" w:rsidRPr="00C13C80" w:rsidRDefault="00EE3EFE" w:rsidP="00EE3EFE">
      <w:pPr>
        <w:spacing w:after="0"/>
        <w:rPr>
          <w:rFonts w:cstheme="minorHAnsi"/>
          <w:b/>
        </w:rPr>
      </w:pPr>
      <w:r w:rsidRPr="00C13C80">
        <w:rPr>
          <w:rFonts w:cstheme="minorHAnsi"/>
          <w:b/>
        </w:rPr>
        <w:t xml:space="preserve">Table 3. Recommendations for </w:t>
      </w:r>
      <w:r>
        <w:rPr>
          <w:rFonts w:cstheme="minorHAnsi"/>
          <w:b/>
        </w:rPr>
        <w:t xml:space="preserve">cytopenia management </w:t>
      </w:r>
      <w:r w:rsidRPr="00C13C80">
        <w:rPr>
          <w:rFonts w:cstheme="minorHAnsi"/>
          <w:b/>
        </w:rPr>
        <w:t xml:space="preserve">in a patient with confirmed </w:t>
      </w:r>
      <w:r>
        <w:rPr>
          <w:rFonts w:cstheme="minorHAnsi"/>
          <w:b/>
        </w:rPr>
        <w:t xml:space="preserve">MLFS or </w:t>
      </w:r>
      <w:r w:rsidRPr="00C13C80">
        <w:rPr>
          <w:rFonts w:cstheme="minorHAnsi"/>
          <w:b/>
        </w:rPr>
        <w:t>CR*^</w:t>
      </w:r>
    </w:p>
    <w:tbl>
      <w:tblPr>
        <w:tblStyle w:val="TableGrid"/>
        <w:tblW w:w="10975" w:type="dxa"/>
        <w:tblLook w:val="04A0" w:firstRow="1" w:lastRow="0" w:firstColumn="1" w:lastColumn="0" w:noHBand="0" w:noVBand="1"/>
      </w:tblPr>
      <w:tblGrid>
        <w:gridCol w:w="2965"/>
        <w:gridCol w:w="4050"/>
        <w:gridCol w:w="3960"/>
      </w:tblGrid>
      <w:tr w:rsidR="00EE3EFE" w:rsidRPr="00C13C80" w14:paraId="3B4C0765" w14:textId="77777777" w:rsidTr="002004EA">
        <w:tc>
          <w:tcPr>
            <w:tcW w:w="2965" w:type="dxa"/>
          </w:tcPr>
          <w:p w14:paraId="059F23FD" w14:textId="77777777" w:rsidR="00EE3EFE" w:rsidRPr="00C13C80" w:rsidRDefault="00EE3EFE" w:rsidP="00BE077C">
            <w:pPr>
              <w:rPr>
                <w:rFonts w:cstheme="minorHAnsi"/>
              </w:rPr>
            </w:pPr>
          </w:p>
        </w:tc>
        <w:tc>
          <w:tcPr>
            <w:tcW w:w="4050" w:type="dxa"/>
          </w:tcPr>
          <w:p w14:paraId="453446D3" w14:textId="77777777" w:rsidR="00EE3EFE" w:rsidRPr="00C13C80" w:rsidRDefault="00EE3EFE" w:rsidP="00BE077C">
            <w:pPr>
              <w:jc w:val="center"/>
              <w:rPr>
                <w:rFonts w:cstheme="minorHAnsi"/>
                <w:b/>
              </w:rPr>
            </w:pPr>
            <w:r w:rsidRPr="00C13C80">
              <w:rPr>
                <w:rFonts w:cstheme="minorHAnsi"/>
                <w:b/>
              </w:rPr>
              <w:t>Recommendation</w:t>
            </w:r>
          </w:p>
        </w:tc>
        <w:tc>
          <w:tcPr>
            <w:tcW w:w="3960" w:type="dxa"/>
          </w:tcPr>
          <w:p w14:paraId="018DE30C" w14:textId="5CCBC0F2" w:rsidR="00EE3EFE" w:rsidRPr="00C13C80" w:rsidRDefault="00EE3EFE" w:rsidP="00BE077C">
            <w:pPr>
              <w:jc w:val="center"/>
              <w:rPr>
                <w:rFonts w:cstheme="minorHAnsi"/>
                <w:b/>
              </w:rPr>
            </w:pPr>
            <w:r>
              <w:rPr>
                <w:rFonts w:cstheme="minorHAnsi"/>
                <w:b/>
              </w:rPr>
              <w:t>Other Considerations</w:t>
            </w:r>
          </w:p>
        </w:tc>
      </w:tr>
      <w:tr w:rsidR="00EE3EFE" w:rsidRPr="00C13C80" w14:paraId="105B031A" w14:textId="77777777" w:rsidTr="002004EA">
        <w:tc>
          <w:tcPr>
            <w:tcW w:w="2965" w:type="dxa"/>
          </w:tcPr>
          <w:p w14:paraId="6EC484D5" w14:textId="394FB9B0" w:rsidR="00EE3EFE" w:rsidRPr="00C13C80" w:rsidRDefault="00EE3EFE" w:rsidP="00EE3EFE">
            <w:pPr>
              <w:rPr>
                <w:rFonts w:cstheme="minorHAnsi"/>
              </w:rPr>
            </w:pPr>
            <w:r w:rsidRPr="00C13C80">
              <w:rPr>
                <w:rFonts w:cstheme="minorHAnsi"/>
              </w:rPr>
              <w:t>1</w:t>
            </w:r>
            <w:r w:rsidRPr="00C13C80">
              <w:rPr>
                <w:rFonts w:cstheme="minorHAnsi"/>
                <w:vertAlign w:val="superscript"/>
              </w:rPr>
              <w:t>st</w:t>
            </w:r>
            <w:r w:rsidRPr="00C13C80">
              <w:rPr>
                <w:rFonts w:cstheme="minorHAnsi"/>
              </w:rPr>
              <w:t xml:space="preserve"> occurrence </w:t>
            </w:r>
            <w:r>
              <w:rPr>
                <w:rFonts w:cstheme="minorHAnsi"/>
              </w:rPr>
              <w:t>(consider this dose reduction in all patients following MLFS/CR, particularly if MRD-)</w:t>
            </w:r>
          </w:p>
        </w:tc>
        <w:tc>
          <w:tcPr>
            <w:tcW w:w="4050" w:type="dxa"/>
          </w:tcPr>
          <w:p w14:paraId="0428CE34" w14:textId="2A0E445B" w:rsidR="00EE3EFE" w:rsidRPr="00C13C80" w:rsidRDefault="00EE3EFE" w:rsidP="00BE077C">
            <w:pPr>
              <w:rPr>
                <w:rFonts w:cstheme="minorHAnsi"/>
              </w:rPr>
            </w:pPr>
            <w:r w:rsidRPr="00C13C80">
              <w:rPr>
                <w:rFonts w:cstheme="minorHAnsi"/>
              </w:rPr>
              <w:t>Hold both venetoclax and azacitidine until recovery to ANC ≥ 1.0</w:t>
            </w:r>
            <w:r>
              <w:rPr>
                <w:rFonts w:cstheme="minorHAnsi"/>
              </w:rPr>
              <w:t xml:space="preserve"> (or &gt; 0.5 if MRD+) or platelets </w:t>
            </w:r>
            <w:r w:rsidRPr="00C13C80">
              <w:rPr>
                <w:rFonts w:cstheme="minorHAnsi"/>
              </w:rPr>
              <w:t>≥</w:t>
            </w:r>
            <w:r>
              <w:rPr>
                <w:rFonts w:cstheme="minorHAnsi"/>
              </w:rPr>
              <w:t xml:space="preserve"> 50</w:t>
            </w:r>
            <w:r w:rsidRPr="00C13C80">
              <w:rPr>
                <w:rFonts w:cstheme="minorHAnsi"/>
              </w:rPr>
              <w:t>, restart venetoclax full dose for 21 out of 28 days, continue azacitidine at full dose</w:t>
            </w:r>
            <w:r w:rsidR="006207A2">
              <w:rPr>
                <w:rFonts w:cstheme="minorHAnsi"/>
              </w:rPr>
              <w:t xml:space="preserve"> 75 mg/m2 x 7 days</w:t>
            </w:r>
          </w:p>
        </w:tc>
        <w:tc>
          <w:tcPr>
            <w:tcW w:w="3960" w:type="dxa"/>
            <w:vMerge w:val="restart"/>
          </w:tcPr>
          <w:p w14:paraId="7C19B534" w14:textId="2EA5207E" w:rsidR="00EE3EFE" w:rsidRDefault="00EE3EFE" w:rsidP="00EE3EFE">
            <w:pPr>
              <w:rPr>
                <w:rFonts w:cstheme="minorHAnsi"/>
              </w:rPr>
            </w:pPr>
          </w:p>
          <w:p w14:paraId="0FDC3F4B" w14:textId="0F74E419" w:rsidR="00EE3EFE" w:rsidRDefault="00EE3EFE" w:rsidP="00EE3EFE">
            <w:pPr>
              <w:rPr>
                <w:rFonts w:cstheme="minorHAnsi"/>
              </w:rPr>
            </w:pPr>
          </w:p>
          <w:p w14:paraId="6DC5C91E" w14:textId="2CD4C2E6" w:rsidR="00EE3EFE" w:rsidRDefault="00EE3EFE" w:rsidP="00EE3EFE">
            <w:pPr>
              <w:rPr>
                <w:rFonts w:cstheme="minorHAnsi"/>
              </w:rPr>
            </w:pPr>
          </w:p>
          <w:p w14:paraId="7B2EE1E1" w14:textId="5196A578" w:rsidR="00EE3EFE" w:rsidRDefault="00EE3EFE" w:rsidP="00EE3EFE">
            <w:pPr>
              <w:rPr>
                <w:rFonts w:cstheme="minorHAnsi"/>
              </w:rPr>
            </w:pPr>
            <w:r>
              <w:rPr>
                <w:rFonts w:cstheme="minorHAnsi"/>
              </w:rPr>
              <w:t xml:space="preserve">If </w:t>
            </w:r>
            <w:r w:rsidR="005E1321">
              <w:rPr>
                <w:rFonts w:cstheme="minorHAnsi"/>
              </w:rPr>
              <w:t>cytopenias are</w:t>
            </w:r>
            <w:r w:rsidR="00394257">
              <w:rPr>
                <w:rFonts w:cstheme="minorHAnsi"/>
              </w:rPr>
              <w:t xml:space="preserve"> unimproved despite holding therapy &gt; 14 days after D28,</w:t>
            </w:r>
            <w:r>
              <w:rPr>
                <w:rFonts w:cstheme="minorHAnsi"/>
              </w:rPr>
              <w:t xml:space="preserve"> consider bone marrow biopsy to assess for </w:t>
            </w:r>
            <w:r w:rsidR="00394257">
              <w:rPr>
                <w:rFonts w:cstheme="minorHAnsi"/>
              </w:rPr>
              <w:t>progressing</w:t>
            </w:r>
            <w:r>
              <w:rPr>
                <w:rFonts w:cstheme="minorHAnsi"/>
              </w:rPr>
              <w:t xml:space="preserve"> disease</w:t>
            </w:r>
          </w:p>
          <w:p w14:paraId="20253B17" w14:textId="4F589787" w:rsidR="00EE3EFE" w:rsidRDefault="00EE3EFE" w:rsidP="00EE3EFE">
            <w:pPr>
              <w:rPr>
                <w:rFonts w:cstheme="minorHAnsi"/>
              </w:rPr>
            </w:pPr>
          </w:p>
          <w:p w14:paraId="14B9FC66" w14:textId="23333F41" w:rsidR="00EE3EFE" w:rsidRDefault="00EE3EFE" w:rsidP="00EE3EFE">
            <w:pPr>
              <w:rPr>
                <w:rFonts w:cstheme="minorHAnsi"/>
              </w:rPr>
            </w:pPr>
            <w:r>
              <w:rPr>
                <w:rFonts w:cstheme="minorHAnsi"/>
              </w:rPr>
              <w:t xml:space="preserve">If recent BMbx reveals MLFS (and ideally MRD negativity) </w:t>
            </w:r>
            <w:r w:rsidR="00394257">
              <w:rPr>
                <w:rFonts w:cstheme="minorHAnsi"/>
              </w:rPr>
              <w:t>consider</w:t>
            </w:r>
            <w:r>
              <w:rPr>
                <w:rFonts w:cstheme="minorHAnsi"/>
              </w:rPr>
              <w:t xml:space="preserve"> GCSF at 5 mcg/kg about 3 times weekly or daily until ANC recovered. </w:t>
            </w:r>
          </w:p>
          <w:p w14:paraId="047277E4" w14:textId="366E1988" w:rsidR="006207A2" w:rsidRDefault="006207A2" w:rsidP="00EE3EFE">
            <w:pPr>
              <w:rPr>
                <w:rFonts w:cstheme="minorHAnsi"/>
              </w:rPr>
            </w:pPr>
          </w:p>
          <w:p w14:paraId="38D6369F" w14:textId="7957FD2F" w:rsidR="006207A2" w:rsidRDefault="006207A2" w:rsidP="00EE3EFE">
            <w:pPr>
              <w:rPr>
                <w:rFonts w:cstheme="minorHAnsi"/>
              </w:rPr>
            </w:pPr>
            <w:r>
              <w:rPr>
                <w:rFonts w:cstheme="minorHAnsi"/>
              </w:rPr>
              <w:t xml:space="preserve">In setting of achieved CR, avoid azole prophylaxis concomitantly with venetoclax (venetoclax will </w:t>
            </w:r>
            <w:r w:rsidR="00394257">
              <w:rPr>
                <w:rFonts w:cstheme="minorHAnsi"/>
              </w:rPr>
              <w:t xml:space="preserve">therefore </w:t>
            </w:r>
            <w:r>
              <w:rPr>
                <w:rFonts w:cstheme="minorHAnsi"/>
              </w:rPr>
              <w:t>be dosed at 400 mg daily</w:t>
            </w:r>
            <w:r w:rsidR="00394257">
              <w:rPr>
                <w:rFonts w:cstheme="minorHAnsi"/>
              </w:rPr>
              <w:t xml:space="preserve"> after C1</w:t>
            </w:r>
            <w:r>
              <w:rPr>
                <w:rFonts w:cstheme="minorHAnsi"/>
              </w:rPr>
              <w:t>); can consider azole ppx during time off ven</w:t>
            </w:r>
            <w:r w:rsidR="00394257">
              <w:rPr>
                <w:rFonts w:cstheme="minorHAnsi"/>
              </w:rPr>
              <w:t>etoclax</w:t>
            </w:r>
            <w:r w:rsidR="002004EA">
              <w:rPr>
                <w:rFonts w:cstheme="minorHAnsi"/>
              </w:rPr>
              <w:t xml:space="preserve"> in between cycles</w:t>
            </w:r>
            <w:r>
              <w:rPr>
                <w:rFonts w:cstheme="minorHAnsi"/>
              </w:rPr>
              <w:t xml:space="preserve"> if ANC &lt; 0.5</w:t>
            </w:r>
          </w:p>
          <w:p w14:paraId="2C7B46E1" w14:textId="006E9DB7" w:rsidR="00EE3EFE" w:rsidRPr="00C13C80" w:rsidRDefault="00EE3EFE" w:rsidP="00EE3EFE">
            <w:pPr>
              <w:jc w:val="both"/>
              <w:rPr>
                <w:rFonts w:cstheme="minorHAnsi"/>
              </w:rPr>
            </w:pPr>
          </w:p>
        </w:tc>
      </w:tr>
      <w:tr w:rsidR="00EE3EFE" w:rsidRPr="00C13C80" w14:paraId="6B7B0CDE" w14:textId="77777777" w:rsidTr="002004EA">
        <w:tc>
          <w:tcPr>
            <w:tcW w:w="2965" w:type="dxa"/>
          </w:tcPr>
          <w:p w14:paraId="0E92BC5D" w14:textId="5923A1E0" w:rsidR="00EE3EFE" w:rsidRPr="00C13C80" w:rsidRDefault="00EE3EFE" w:rsidP="00EE3EFE">
            <w:pPr>
              <w:rPr>
                <w:rFonts w:cstheme="minorHAnsi"/>
              </w:rPr>
            </w:pPr>
            <w:r w:rsidRPr="00C13C80">
              <w:rPr>
                <w:rFonts w:cstheme="minorHAnsi"/>
              </w:rPr>
              <w:t>2</w:t>
            </w:r>
            <w:r w:rsidRPr="00C13C80">
              <w:rPr>
                <w:rFonts w:cstheme="minorHAnsi"/>
                <w:vertAlign w:val="superscript"/>
              </w:rPr>
              <w:t>nd</w:t>
            </w:r>
            <w:r w:rsidRPr="00C13C80">
              <w:rPr>
                <w:rFonts w:cstheme="minorHAnsi"/>
              </w:rPr>
              <w:t xml:space="preserve"> occurrence </w:t>
            </w:r>
          </w:p>
        </w:tc>
        <w:tc>
          <w:tcPr>
            <w:tcW w:w="4050" w:type="dxa"/>
          </w:tcPr>
          <w:p w14:paraId="2E50ECF1" w14:textId="18EDF008" w:rsidR="00EE3EFE" w:rsidRPr="00C13C80" w:rsidRDefault="00EE3EFE" w:rsidP="002004EA">
            <w:pPr>
              <w:rPr>
                <w:rFonts w:cstheme="minorHAnsi"/>
              </w:rPr>
            </w:pPr>
            <w:r w:rsidRPr="00C13C80">
              <w:rPr>
                <w:rFonts w:cstheme="minorHAnsi"/>
              </w:rPr>
              <w:t>Hold both venetoclax and azacitidine until recovery to ANC ≥ 1.0</w:t>
            </w:r>
            <w:r>
              <w:rPr>
                <w:rFonts w:cstheme="minorHAnsi"/>
              </w:rPr>
              <w:t xml:space="preserve"> (or &gt; 0.5 if MRD+) or platelets </w:t>
            </w:r>
            <w:r w:rsidRPr="00C13C80">
              <w:rPr>
                <w:rFonts w:cstheme="minorHAnsi"/>
              </w:rPr>
              <w:t>≥</w:t>
            </w:r>
            <w:r>
              <w:rPr>
                <w:rFonts w:cstheme="minorHAnsi"/>
              </w:rPr>
              <w:t xml:space="preserve"> 50</w:t>
            </w:r>
            <w:r w:rsidRPr="00C13C80">
              <w:rPr>
                <w:rFonts w:cstheme="minorHAnsi"/>
              </w:rPr>
              <w:t xml:space="preserve">, then restart venetoclax full dose for 21 out of 28 days, and dose reduce azacitidine </w:t>
            </w:r>
            <w:r>
              <w:rPr>
                <w:rFonts w:cstheme="minorHAnsi"/>
              </w:rPr>
              <w:t xml:space="preserve">75 mg/m2 x </w:t>
            </w:r>
            <w:r w:rsidRPr="00C13C80">
              <w:rPr>
                <w:rFonts w:cstheme="minorHAnsi"/>
              </w:rPr>
              <w:t>5 days duration</w:t>
            </w:r>
          </w:p>
        </w:tc>
        <w:tc>
          <w:tcPr>
            <w:tcW w:w="3960" w:type="dxa"/>
            <w:vMerge/>
          </w:tcPr>
          <w:p w14:paraId="719E9305" w14:textId="415BB3D4" w:rsidR="00EE3EFE" w:rsidRPr="00C13C80" w:rsidRDefault="00EE3EFE" w:rsidP="00BE077C">
            <w:pPr>
              <w:rPr>
                <w:rFonts w:cstheme="minorHAnsi"/>
              </w:rPr>
            </w:pPr>
          </w:p>
        </w:tc>
      </w:tr>
      <w:tr w:rsidR="00EE3EFE" w:rsidRPr="00C13C80" w14:paraId="334B9B4C" w14:textId="77777777" w:rsidTr="002004EA">
        <w:tc>
          <w:tcPr>
            <w:tcW w:w="2965" w:type="dxa"/>
          </w:tcPr>
          <w:p w14:paraId="6AA989C5" w14:textId="4705FAA5" w:rsidR="00EE3EFE" w:rsidRPr="00C13C80" w:rsidRDefault="00EE3EFE" w:rsidP="00EE3EFE">
            <w:pPr>
              <w:rPr>
                <w:rFonts w:cstheme="minorHAnsi"/>
              </w:rPr>
            </w:pPr>
            <w:r w:rsidRPr="00C13C80">
              <w:rPr>
                <w:rFonts w:cstheme="minorHAnsi"/>
              </w:rPr>
              <w:t>3</w:t>
            </w:r>
            <w:r w:rsidRPr="00C13C80">
              <w:rPr>
                <w:rFonts w:cstheme="minorHAnsi"/>
                <w:vertAlign w:val="superscript"/>
              </w:rPr>
              <w:t>rd</w:t>
            </w:r>
            <w:r w:rsidRPr="00C13C80">
              <w:rPr>
                <w:rFonts w:cstheme="minorHAnsi"/>
              </w:rPr>
              <w:t xml:space="preserve"> occurrence </w:t>
            </w:r>
          </w:p>
        </w:tc>
        <w:tc>
          <w:tcPr>
            <w:tcW w:w="4050" w:type="dxa"/>
          </w:tcPr>
          <w:p w14:paraId="051744C7" w14:textId="009A2F88" w:rsidR="00EE3EFE" w:rsidRPr="00C13C80" w:rsidRDefault="00EE3EFE" w:rsidP="002004EA">
            <w:pPr>
              <w:rPr>
                <w:rFonts w:cstheme="minorHAnsi"/>
              </w:rPr>
            </w:pPr>
            <w:r w:rsidRPr="00C13C80">
              <w:rPr>
                <w:rFonts w:cstheme="minorHAnsi"/>
              </w:rPr>
              <w:t>Hold both venetoclax and azacitidine until recovery to ANC ≥ 1.0</w:t>
            </w:r>
            <w:r>
              <w:rPr>
                <w:rFonts w:cstheme="minorHAnsi"/>
              </w:rPr>
              <w:t xml:space="preserve"> (or &gt; 0.5 if MRD+) or platelets </w:t>
            </w:r>
            <w:r w:rsidRPr="00C13C80">
              <w:rPr>
                <w:rFonts w:cstheme="minorHAnsi"/>
              </w:rPr>
              <w:t>≥</w:t>
            </w:r>
            <w:r>
              <w:rPr>
                <w:rFonts w:cstheme="minorHAnsi"/>
              </w:rPr>
              <w:t xml:space="preserve"> 50</w:t>
            </w:r>
            <w:r w:rsidRPr="00C13C80">
              <w:rPr>
                <w:rFonts w:cstheme="minorHAnsi"/>
              </w:rPr>
              <w:t>, then restart venetoclax fu</w:t>
            </w:r>
            <w:r>
              <w:rPr>
                <w:rFonts w:cstheme="minorHAnsi"/>
              </w:rPr>
              <w:t>ll dose for 14</w:t>
            </w:r>
            <w:r w:rsidRPr="00C13C80">
              <w:rPr>
                <w:rFonts w:cstheme="minorHAnsi"/>
              </w:rPr>
              <w:t xml:space="preserve"> out of 28 days, and </w:t>
            </w:r>
            <w:r>
              <w:rPr>
                <w:rFonts w:cstheme="minorHAnsi"/>
              </w:rPr>
              <w:t xml:space="preserve">azacitidine 75 mg/m2 x </w:t>
            </w:r>
            <w:r w:rsidRPr="00C13C80">
              <w:rPr>
                <w:rFonts w:cstheme="minorHAnsi"/>
              </w:rPr>
              <w:t>5 days duration</w:t>
            </w:r>
          </w:p>
        </w:tc>
        <w:tc>
          <w:tcPr>
            <w:tcW w:w="3960" w:type="dxa"/>
            <w:vMerge/>
          </w:tcPr>
          <w:p w14:paraId="68B64395" w14:textId="760EA1BB" w:rsidR="00EE3EFE" w:rsidRPr="00C13C80" w:rsidRDefault="00EE3EFE" w:rsidP="00BE077C">
            <w:pPr>
              <w:rPr>
                <w:rFonts w:cstheme="minorHAnsi"/>
              </w:rPr>
            </w:pPr>
          </w:p>
        </w:tc>
      </w:tr>
      <w:tr w:rsidR="00EE3EFE" w:rsidRPr="00C13C80" w14:paraId="75B938FF" w14:textId="77777777" w:rsidTr="002004EA">
        <w:tc>
          <w:tcPr>
            <w:tcW w:w="2965" w:type="dxa"/>
          </w:tcPr>
          <w:p w14:paraId="76918939" w14:textId="4B6D77D6" w:rsidR="00EE3EFE" w:rsidRPr="00C13C80" w:rsidRDefault="00EE3EFE" w:rsidP="00EE3EFE">
            <w:pPr>
              <w:rPr>
                <w:rFonts w:cstheme="minorHAnsi"/>
              </w:rPr>
            </w:pPr>
            <w:r w:rsidRPr="00C13C80">
              <w:rPr>
                <w:rFonts w:cstheme="minorHAnsi"/>
              </w:rPr>
              <w:t>4</w:t>
            </w:r>
            <w:r w:rsidRPr="00C13C80">
              <w:rPr>
                <w:rFonts w:cstheme="minorHAnsi"/>
                <w:vertAlign w:val="superscript"/>
              </w:rPr>
              <w:t>th</w:t>
            </w:r>
            <w:r w:rsidRPr="00C13C80">
              <w:rPr>
                <w:rFonts w:cstheme="minorHAnsi"/>
              </w:rPr>
              <w:t xml:space="preserve"> occurrence </w:t>
            </w:r>
          </w:p>
        </w:tc>
        <w:tc>
          <w:tcPr>
            <w:tcW w:w="4050" w:type="dxa"/>
          </w:tcPr>
          <w:p w14:paraId="484A4F03" w14:textId="314864D5" w:rsidR="00EE3EFE" w:rsidRPr="00C13C80" w:rsidRDefault="00EE3EFE" w:rsidP="002004EA">
            <w:pPr>
              <w:rPr>
                <w:rFonts w:cstheme="minorHAnsi"/>
              </w:rPr>
            </w:pPr>
            <w:r w:rsidRPr="00C13C80">
              <w:rPr>
                <w:rFonts w:cstheme="minorHAnsi"/>
              </w:rPr>
              <w:t>Hold both venetoclax and azacitidine until recovery to ANC ≥ 1.0</w:t>
            </w:r>
            <w:r>
              <w:rPr>
                <w:rFonts w:cstheme="minorHAnsi"/>
              </w:rPr>
              <w:t xml:space="preserve"> (or &gt; 0.5 if MRD+) or platelets </w:t>
            </w:r>
            <w:r w:rsidRPr="00C13C80">
              <w:rPr>
                <w:rFonts w:cstheme="minorHAnsi"/>
              </w:rPr>
              <w:t>≥</w:t>
            </w:r>
            <w:r>
              <w:rPr>
                <w:rFonts w:cstheme="minorHAnsi"/>
              </w:rPr>
              <w:t xml:space="preserve"> 50</w:t>
            </w:r>
            <w:r w:rsidRPr="00C13C80">
              <w:rPr>
                <w:rFonts w:cstheme="minorHAnsi"/>
              </w:rPr>
              <w:t>, then res</w:t>
            </w:r>
            <w:r>
              <w:rPr>
                <w:rFonts w:cstheme="minorHAnsi"/>
              </w:rPr>
              <w:t>tart venetoclax half dose for 14</w:t>
            </w:r>
            <w:r w:rsidRPr="00C13C80">
              <w:rPr>
                <w:rFonts w:cstheme="minorHAnsi"/>
              </w:rPr>
              <w:t xml:space="preserve"> out of 28 days, and dose reduce azacitidine </w:t>
            </w:r>
            <w:r>
              <w:rPr>
                <w:rFonts w:cstheme="minorHAnsi"/>
              </w:rPr>
              <w:t>50 mg/m2 x 5 days</w:t>
            </w:r>
            <w:r w:rsidR="006207A2">
              <w:rPr>
                <w:rFonts w:cstheme="minorHAnsi"/>
              </w:rPr>
              <w:t xml:space="preserve"> duration </w:t>
            </w:r>
          </w:p>
        </w:tc>
        <w:tc>
          <w:tcPr>
            <w:tcW w:w="3960" w:type="dxa"/>
            <w:vMerge/>
          </w:tcPr>
          <w:p w14:paraId="65C5F0F1" w14:textId="2A5F7B58" w:rsidR="00EE3EFE" w:rsidRPr="00C13C80" w:rsidRDefault="00EE3EFE" w:rsidP="00BE077C">
            <w:pPr>
              <w:rPr>
                <w:rFonts w:cstheme="minorHAnsi"/>
              </w:rPr>
            </w:pPr>
          </w:p>
        </w:tc>
      </w:tr>
    </w:tbl>
    <w:p w14:paraId="15DED3C5" w14:textId="0729B42A" w:rsidR="001A2632" w:rsidRDefault="001A2632" w:rsidP="009326E3">
      <w:pPr>
        <w:rPr>
          <w:rFonts w:cstheme="minorHAnsi"/>
        </w:rPr>
      </w:pPr>
    </w:p>
    <w:p w14:paraId="40B1E5F4" w14:textId="30E9D6B6" w:rsidR="009326E3" w:rsidRPr="00C13C80" w:rsidRDefault="00331C19" w:rsidP="009326E3">
      <w:pPr>
        <w:rPr>
          <w:rFonts w:cstheme="minorHAnsi"/>
          <w:b/>
          <w:sz w:val="24"/>
          <w:szCs w:val="24"/>
        </w:rPr>
      </w:pPr>
      <w:r w:rsidRPr="00C13C80">
        <w:rPr>
          <w:rFonts w:cstheme="minorHAnsi"/>
          <w:b/>
          <w:sz w:val="24"/>
          <w:szCs w:val="24"/>
        </w:rPr>
        <w:t xml:space="preserve">References: </w:t>
      </w:r>
    </w:p>
    <w:p w14:paraId="03CF85FB" w14:textId="5478F6C5" w:rsidR="00CA7149" w:rsidRPr="00C13C80" w:rsidRDefault="00CA7149" w:rsidP="00CA7149">
      <w:pPr>
        <w:pStyle w:val="ListParagraph"/>
        <w:numPr>
          <w:ilvl w:val="0"/>
          <w:numId w:val="14"/>
        </w:numPr>
        <w:spacing w:after="0" w:line="240" w:lineRule="auto"/>
        <w:rPr>
          <w:rFonts w:cstheme="minorHAnsi"/>
          <w:sz w:val="24"/>
          <w:szCs w:val="24"/>
        </w:rPr>
      </w:pPr>
      <w:r w:rsidRPr="00C13C80">
        <w:rPr>
          <w:rFonts w:cstheme="minorHAnsi"/>
          <w:sz w:val="24"/>
          <w:szCs w:val="24"/>
        </w:rPr>
        <w:t>Dinardo CD, Pratz KW, Letai A, et al. Safety and preliminary efficacy of venetoclax with decitabine or azacitidine in elderly patients with previously untreated acute myeloid leukaemia: a non-randomised, open-label, phase 1b study. Lancet Oncol. 2018;19(2):216-228</w:t>
      </w:r>
    </w:p>
    <w:p w14:paraId="4B539479" w14:textId="77777777" w:rsidR="00CA7149" w:rsidRPr="00C13C80" w:rsidRDefault="00CA7149" w:rsidP="00CA7149">
      <w:pPr>
        <w:pStyle w:val="ListParagraph"/>
        <w:numPr>
          <w:ilvl w:val="0"/>
          <w:numId w:val="14"/>
        </w:numPr>
        <w:spacing w:after="0" w:line="240" w:lineRule="auto"/>
        <w:rPr>
          <w:rFonts w:cstheme="minorHAnsi"/>
          <w:sz w:val="24"/>
          <w:szCs w:val="24"/>
        </w:rPr>
      </w:pPr>
      <w:r w:rsidRPr="00C13C80">
        <w:rPr>
          <w:rFonts w:cstheme="minorHAnsi"/>
          <w:sz w:val="24"/>
          <w:szCs w:val="24"/>
        </w:rPr>
        <w:t>Wei AH, Strickland SA, Hou JZ, et al. Venetoclax Combined With Low-Dose Cytarabine for Previously Untreated Patients With Acute Myeloid Leukemia: Results From a Phase Ib/II Study. J Clin Oncol. 2019;37(15):1277-1284.</w:t>
      </w:r>
    </w:p>
    <w:p w14:paraId="6073B8D3" w14:textId="661E0292" w:rsidR="00CA7149" w:rsidRDefault="00CA7149" w:rsidP="00CA7149">
      <w:pPr>
        <w:pStyle w:val="ListParagraph"/>
        <w:numPr>
          <w:ilvl w:val="0"/>
          <w:numId w:val="14"/>
        </w:numPr>
        <w:spacing w:after="0" w:line="240" w:lineRule="auto"/>
        <w:rPr>
          <w:rFonts w:cstheme="minorHAnsi"/>
          <w:sz w:val="24"/>
          <w:szCs w:val="24"/>
        </w:rPr>
      </w:pPr>
      <w:r w:rsidRPr="00C13C80">
        <w:rPr>
          <w:rFonts w:cstheme="minorHAnsi"/>
          <w:sz w:val="24"/>
          <w:szCs w:val="24"/>
        </w:rPr>
        <w:t>Venclexta (venetoclax) [prescribing information]. North Chicago, IL: AbbVie Inc; July 2019.</w:t>
      </w:r>
    </w:p>
    <w:p w14:paraId="28559759" w14:textId="579CB43D" w:rsidR="00C13C80" w:rsidRPr="00C13C80" w:rsidRDefault="00C13C80" w:rsidP="00C13C80">
      <w:pPr>
        <w:pStyle w:val="ListParagraph"/>
        <w:numPr>
          <w:ilvl w:val="0"/>
          <w:numId w:val="14"/>
        </w:numPr>
        <w:spacing w:after="0" w:line="240" w:lineRule="auto"/>
        <w:rPr>
          <w:rFonts w:cstheme="minorHAnsi"/>
          <w:sz w:val="24"/>
          <w:szCs w:val="24"/>
        </w:rPr>
      </w:pPr>
      <w:r w:rsidRPr="00C13C80">
        <w:rPr>
          <w:rFonts w:cstheme="minorHAnsi"/>
          <w:sz w:val="24"/>
          <w:szCs w:val="24"/>
        </w:rPr>
        <w:t>Konopleva M, Pollyea DA, Potluri J, et al. Efficacy and Biological Correlates of Response in a Phase II Study of Venetoclax Monotherapy in Patients with Acute Myelogenous Leukemia. Cancer Discov. 2016;6(10):1106-</w:t>
      </w:r>
    </w:p>
    <w:p w14:paraId="528672CF" w14:textId="6D326DC4" w:rsidR="00CA7149" w:rsidRDefault="00CA7149" w:rsidP="009326E3">
      <w:pPr>
        <w:rPr>
          <w:rFonts w:ascii="Arial" w:hAnsi="Arial" w:cs="Arial"/>
          <w:b/>
          <w:sz w:val="24"/>
          <w:szCs w:val="24"/>
        </w:rPr>
      </w:pPr>
    </w:p>
    <w:p w14:paraId="18AE866E" w14:textId="221F35C6" w:rsidR="00BA2565" w:rsidRPr="006E50C4" w:rsidRDefault="00BA2565" w:rsidP="00C13C80">
      <w:pPr>
        <w:rPr>
          <w:rFonts w:ascii="Arial" w:hAnsi="Arial" w:cs="Arial"/>
          <w:b/>
          <w:sz w:val="24"/>
          <w:szCs w:val="24"/>
        </w:rPr>
      </w:pPr>
    </w:p>
    <w:sectPr w:rsidR="00BA2565" w:rsidRPr="006E50C4" w:rsidSect="00BE5C80">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FE68E" w14:textId="77777777" w:rsidR="005E6419" w:rsidRDefault="005E6419" w:rsidP="00BE5C80">
      <w:pPr>
        <w:spacing w:after="0" w:line="240" w:lineRule="auto"/>
      </w:pPr>
      <w:r>
        <w:separator/>
      </w:r>
    </w:p>
  </w:endnote>
  <w:endnote w:type="continuationSeparator" w:id="0">
    <w:p w14:paraId="303EBC49" w14:textId="77777777" w:rsidR="005E6419" w:rsidRDefault="005E6419" w:rsidP="00BE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FB9AA" w14:textId="77777777" w:rsidR="005E6419" w:rsidRDefault="005E6419" w:rsidP="00BE5C80">
      <w:pPr>
        <w:spacing w:after="0" w:line="240" w:lineRule="auto"/>
      </w:pPr>
      <w:r>
        <w:separator/>
      </w:r>
    </w:p>
  </w:footnote>
  <w:footnote w:type="continuationSeparator" w:id="0">
    <w:p w14:paraId="7DBC2C6C" w14:textId="77777777" w:rsidR="005E6419" w:rsidRDefault="005E6419" w:rsidP="00BE5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C06A2" w14:textId="77777777" w:rsidR="00D25C4D" w:rsidRPr="00BE5C80" w:rsidRDefault="00D25C4D" w:rsidP="00BE5C80">
    <w:pPr>
      <w:jc w:val="center"/>
      <w:rPr>
        <w:rFonts w:ascii="Arial" w:hAnsi="Arial" w:cs="Arial"/>
        <w:i/>
        <w:color w:val="FF0000"/>
        <w:sz w:val="20"/>
        <w:szCs w:val="24"/>
      </w:rPr>
    </w:pPr>
    <w:r>
      <w:rPr>
        <w:rFonts w:ascii="Arial" w:hAnsi="Arial" w:cs="Arial"/>
        <w:i/>
        <w:color w:val="FF0000"/>
        <w:sz w:val="20"/>
        <w:szCs w:val="24"/>
      </w:rPr>
      <w:t>This document</w:t>
    </w:r>
    <w:r w:rsidRPr="00BE5C80">
      <w:rPr>
        <w:rFonts w:ascii="Arial" w:hAnsi="Arial" w:cs="Arial"/>
        <w:i/>
        <w:color w:val="FF0000"/>
        <w:sz w:val="20"/>
        <w:szCs w:val="24"/>
      </w:rPr>
      <w:t xml:space="preserve"> is developed as a guideline to aid clinicians in making informed decisions about leukemia patients.  It is not intende</w:t>
    </w:r>
    <w:r>
      <w:rPr>
        <w:rFonts w:ascii="Arial" w:hAnsi="Arial" w:cs="Arial"/>
        <w:i/>
        <w:color w:val="FF0000"/>
        <w:sz w:val="20"/>
        <w:szCs w:val="24"/>
      </w:rPr>
      <w:t>d to take the place of clinical</w:t>
    </w:r>
    <w:r w:rsidRPr="00BE5C80">
      <w:rPr>
        <w:rFonts w:ascii="Arial" w:hAnsi="Arial" w:cs="Arial"/>
        <w:i/>
        <w:color w:val="FF0000"/>
        <w:sz w:val="20"/>
        <w:szCs w:val="24"/>
      </w:rPr>
      <w:t xml:space="preserve"> judgement. Recommendations may not be appropriate in all circumstances.</w:t>
    </w:r>
  </w:p>
  <w:p w14:paraId="64673177" w14:textId="77777777" w:rsidR="00D25C4D" w:rsidRDefault="00D25C4D">
    <w:pPr>
      <w:pStyle w:val="Header"/>
    </w:pPr>
  </w:p>
  <w:p w14:paraId="65E1A068" w14:textId="77777777" w:rsidR="00D25C4D" w:rsidRDefault="00D25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324"/>
    <w:multiLevelType w:val="hybridMultilevel"/>
    <w:tmpl w:val="17F20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B2B74"/>
    <w:multiLevelType w:val="hybridMultilevel"/>
    <w:tmpl w:val="687A7C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716E3"/>
    <w:multiLevelType w:val="hybridMultilevel"/>
    <w:tmpl w:val="9AB0BA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969B4"/>
    <w:multiLevelType w:val="hybridMultilevel"/>
    <w:tmpl w:val="18DC3492"/>
    <w:lvl w:ilvl="0" w:tplc="371CB1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E4AC0"/>
    <w:multiLevelType w:val="hybridMultilevel"/>
    <w:tmpl w:val="E4B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97D4C"/>
    <w:multiLevelType w:val="hybridMultilevel"/>
    <w:tmpl w:val="13945E5E"/>
    <w:lvl w:ilvl="0" w:tplc="92F2D0F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712BF"/>
    <w:multiLevelType w:val="hybridMultilevel"/>
    <w:tmpl w:val="DC66E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3C1984"/>
    <w:multiLevelType w:val="hybridMultilevel"/>
    <w:tmpl w:val="12C20B44"/>
    <w:lvl w:ilvl="0" w:tplc="6E460788">
      <w:start w:val="1"/>
      <w:numFmt w:val="bullet"/>
      <w:lvlText w:val="•"/>
      <w:lvlJc w:val="left"/>
      <w:pPr>
        <w:tabs>
          <w:tab w:val="num" w:pos="720"/>
        </w:tabs>
        <w:ind w:left="720" w:hanging="360"/>
      </w:pPr>
      <w:rPr>
        <w:rFonts w:ascii="Times New Roman" w:hAnsi="Times New Roman" w:hint="default"/>
      </w:rPr>
    </w:lvl>
    <w:lvl w:ilvl="1" w:tplc="372CE3BA" w:tentative="1">
      <w:start w:val="1"/>
      <w:numFmt w:val="bullet"/>
      <w:lvlText w:val="•"/>
      <w:lvlJc w:val="left"/>
      <w:pPr>
        <w:tabs>
          <w:tab w:val="num" w:pos="1440"/>
        </w:tabs>
        <w:ind w:left="1440" w:hanging="360"/>
      </w:pPr>
      <w:rPr>
        <w:rFonts w:ascii="Times New Roman" w:hAnsi="Times New Roman" w:hint="default"/>
      </w:rPr>
    </w:lvl>
    <w:lvl w:ilvl="2" w:tplc="ED042FA2" w:tentative="1">
      <w:start w:val="1"/>
      <w:numFmt w:val="bullet"/>
      <w:lvlText w:val="•"/>
      <w:lvlJc w:val="left"/>
      <w:pPr>
        <w:tabs>
          <w:tab w:val="num" w:pos="2160"/>
        </w:tabs>
        <w:ind w:left="2160" w:hanging="360"/>
      </w:pPr>
      <w:rPr>
        <w:rFonts w:ascii="Times New Roman" w:hAnsi="Times New Roman" w:hint="default"/>
      </w:rPr>
    </w:lvl>
    <w:lvl w:ilvl="3" w:tplc="A6323C5E" w:tentative="1">
      <w:start w:val="1"/>
      <w:numFmt w:val="bullet"/>
      <w:lvlText w:val="•"/>
      <w:lvlJc w:val="left"/>
      <w:pPr>
        <w:tabs>
          <w:tab w:val="num" w:pos="2880"/>
        </w:tabs>
        <w:ind w:left="2880" w:hanging="360"/>
      </w:pPr>
      <w:rPr>
        <w:rFonts w:ascii="Times New Roman" w:hAnsi="Times New Roman" w:hint="default"/>
      </w:rPr>
    </w:lvl>
    <w:lvl w:ilvl="4" w:tplc="49E43DB0" w:tentative="1">
      <w:start w:val="1"/>
      <w:numFmt w:val="bullet"/>
      <w:lvlText w:val="•"/>
      <w:lvlJc w:val="left"/>
      <w:pPr>
        <w:tabs>
          <w:tab w:val="num" w:pos="3600"/>
        </w:tabs>
        <w:ind w:left="3600" w:hanging="360"/>
      </w:pPr>
      <w:rPr>
        <w:rFonts w:ascii="Times New Roman" w:hAnsi="Times New Roman" w:hint="default"/>
      </w:rPr>
    </w:lvl>
    <w:lvl w:ilvl="5" w:tplc="F202B874" w:tentative="1">
      <w:start w:val="1"/>
      <w:numFmt w:val="bullet"/>
      <w:lvlText w:val="•"/>
      <w:lvlJc w:val="left"/>
      <w:pPr>
        <w:tabs>
          <w:tab w:val="num" w:pos="4320"/>
        </w:tabs>
        <w:ind w:left="4320" w:hanging="360"/>
      </w:pPr>
      <w:rPr>
        <w:rFonts w:ascii="Times New Roman" w:hAnsi="Times New Roman" w:hint="default"/>
      </w:rPr>
    </w:lvl>
    <w:lvl w:ilvl="6" w:tplc="D1869122" w:tentative="1">
      <w:start w:val="1"/>
      <w:numFmt w:val="bullet"/>
      <w:lvlText w:val="•"/>
      <w:lvlJc w:val="left"/>
      <w:pPr>
        <w:tabs>
          <w:tab w:val="num" w:pos="5040"/>
        </w:tabs>
        <w:ind w:left="5040" w:hanging="360"/>
      </w:pPr>
      <w:rPr>
        <w:rFonts w:ascii="Times New Roman" w:hAnsi="Times New Roman" w:hint="default"/>
      </w:rPr>
    </w:lvl>
    <w:lvl w:ilvl="7" w:tplc="48DEDF30" w:tentative="1">
      <w:start w:val="1"/>
      <w:numFmt w:val="bullet"/>
      <w:lvlText w:val="•"/>
      <w:lvlJc w:val="left"/>
      <w:pPr>
        <w:tabs>
          <w:tab w:val="num" w:pos="5760"/>
        </w:tabs>
        <w:ind w:left="5760" w:hanging="360"/>
      </w:pPr>
      <w:rPr>
        <w:rFonts w:ascii="Times New Roman" w:hAnsi="Times New Roman" w:hint="default"/>
      </w:rPr>
    </w:lvl>
    <w:lvl w:ilvl="8" w:tplc="E67A77D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227BBF"/>
    <w:multiLevelType w:val="hybridMultilevel"/>
    <w:tmpl w:val="9BE89E30"/>
    <w:lvl w:ilvl="0" w:tplc="0740791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60F16"/>
    <w:multiLevelType w:val="hybridMultilevel"/>
    <w:tmpl w:val="BDFE7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C563AC"/>
    <w:multiLevelType w:val="hybridMultilevel"/>
    <w:tmpl w:val="F27C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E63EC"/>
    <w:multiLevelType w:val="hybridMultilevel"/>
    <w:tmpl w:val="34FC0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56878"/>
    <w:multiLevelType w:val="hybridMultilevel"/>
    <w:tmpl w:val="1B5E40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315415"/>
    <w:multiLevelType w:val="hybridMultilevel"/>
    <w:tmpl w:val="0168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12CF2"/>
    <w:multiLevelType w:val="hybridMultilevel"/>
    <w:tmpl w:val="D8444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0406F"/>
    <w:multiLevelType w:val="hybridMultilevel"/>
    <w:tmpl w:val="9DD478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C97B05"/>
    <w:multiLevelType w:val="hybridMultilevel"/>
    <w:tmpl w:val="A3706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E182B"/>
    <w:multiLevelType w:val="hybridMultilevel"/>
    <w:tmpl w:val="C88A0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40DDF"/>
    <w:multiLevelType w:val="hybridMultilevel"/>
    <w:tmpl w:val="BE98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531FE"/>
    <w:multiLevelType w:val="hybridMultilevel"/>
    <w:tmpl w:val="3C8AC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F0C3F"/>
    <w:multiLevelType w:val="hybridMultilevel"/>
    <w:tmpl w:val="18BAE0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13807"/>
    <w:multiLevelType w:val="hybridMultilevel"/>
    <w:tmpl w:val="EFC61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124E2CC">
      <w:start w:val="3"/>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A6F12"/>
    <w:multiLevelType w:val="hybridMultilevel"/>
    <w:tmpl w:val="3D8C79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35F6C"/>
    <w:multiLevelType w:val="hybridMultilevel"/>
    <w:tmpl w:val="DFD697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612042"/>
    <w:multiLevelType w:val="hybridMultilevel"/>
    <w:tmpl w:val="5BB2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F5DBB"/>
    <w:multiLevelType w:val="hybridMultilevel"/>
    <w:tmpl w:val="D8444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5"/>
  </w:num>
  <w:num w:numId="4">
    <w:abstractNumId w:val="23"/>
  </w:num>
  <w:num w:numId="5">
    <w:abstractNumId w:val="6"/>
  </w:num>
  <w:num w:numId="6">
    <w:abstractNumId w:val="1"/>
  </w:num>
  <w:num w:numId="7">
    <w:abstractNumId w:val="9"/>
  </w:num>
  <w:num w:numId="8">
    <w:abstractNumId w:val="12"/>
  </w:num>
  <w:num w:numId="9">
    <w:abstractNumId w:val="20"/>
  </w:num>
  <w:num w:numId="10">
    <w:abstractNumId w:val="22"/>
  </w:num>
  <w:num w:numId="11">
    <w:abstractNumId w:val="3"/>
  </w:num>
  <w:num w:numId="12">
    <w:abstractNumId w:val="18"/>
  </w:num>
  <w:num w:numId="13">
    <w:abstractNumId w:val="24"/>
  </w:num>
  <w:num w:numId="14">
    <w:abstractNumId w:val="19"/>
  </w:num>
  <w:num w:numId="15">
    <w:abstractNumId w:val="14"/>
  </w:num>
  <w:num w:numId="16">
    <w:abstractNumId w:val="21"/>
  </w:num>
  <w:num w:numId="17">
    <w:abstractNumId w:val="25"/>
  </w:num>
  <w:num w:numId="18">
    <w:abstractNumId w:val="8"/>
  </w:num>
  <w:num w:numId="19">
    <w:abstractNumId w:val="11"/>
  </w:num>
  <w:num w:numId="20">
    <w:abstractNumId w:val="4"/>
  </w:num>
  <w:num w:numId="21">
    <w:abstractNumId w:val="17"/>
  </w:num>
  <w:num w:numId="22">
    <w:abstractNumId w:val="16"/>
  </w:num>
  <w:num w:numId="23">
    <w:abstractNumId w:val="13"/>
  </w:num>
  <w:num w:numId="24">
    <w:abstractNumId w:val="10"/>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vrwseever05cestpt52txnwdtsdwrep0er&quot;&gt;My EndNote Library&lt;record-ids&gt;&lt;item&gt;129&lt;/item&gt;&lt;item&gt;174&lt;/item&gt;&lt;item&gt;217&lt;/item&gt;&lt;item&gt;218&lt;/item&gt;&lt;item&gt;219&lt;/item&gt;&lt;item&gt;220&lt;/item&gt;&lt;item&gt;221&lt;/item&gt;&lt;item&gt;222&lt;/item&gt;&lt;item&gt;223&lt;/item&gt;&lt;item&gt;224&lt;/item&gt;&lt;item&gt;225&lt;/item&gt;&lt;item&gt;226&lt;/item&gt;&lt;item&gt;227&lt;/item&gt;&lt;/record-ids&gt;&lt;/item&gt;&lt;/Libraries&gt;"/>
  </w:docVars>
  <w:rsids>
    <w:rsidRoot w:val="009326E3"/>
    <w:rsid w:val="0001115A"/>
    <w:rsid w:val="00061DF8"/>
    <w:rsid w:val="00067DD9"/>
    <w:rsid w:val="00080222"/>
    <w:rsid w:val="000832C8"/>
    <w:rsid w:val="000935B0"/>
    <w:rsid w:val="00093A8F"/>
    <w:rsid w:val="00093D93"/>
    <w:rsid w:val="000B66B8"/>
    <w:rsid w:val="000D68C9"/>
    <w:rsid w:val="00183712"/>
    <w:rsid w:val="001A1D74"/>
    <w:rsid w:val="001A2632"/>
    <w:rsid w:val="001E20B4"/>
    <w:rsid w:val="002004EA"/>
    <w:rsid w:val="00216DC8"/>
    <w:rsid w:val="0023453C"/>
    <w:rsid w:val="0027541F"/>
    <w:rsid w:val="00286A78"/>
    <w:rsid w:val="0029460E"/>
    <w:rsid w:val="002C299A"/>
    <w:rsid w:val="002E4439"/>
    <w:rsid w:val="002F7782"/>
    <w:rsid w:val="00304A5B"/>
    <w:rsid w:val="0031644B"/>
    <w:rsid w:val="0031646C"/>
    <w:rsid w:val="00321BFB"/>
    <w:rsid w:val="00324905"/>
    <w:rsid w:val="00331C19"/>
    <w:rsid w:val="00353EAE"/>
    <w:rsid w:val="00394257"/>
    <w:rsid w:val="003B45C3"/>
    <w:rsid w:val="003B7F75"/>
    <w:rsid w:val="003C195D"/>
    <w:rsid w:val="003C3BD6"/>
    <w:rsid w:val="003C64D9"/>
    <w:rsid w:val="00402FA5"/>
    <w:rsid w:val="00416567"/>
    <w:rsid w:val="00421D9A"/>
    <w:rsid w:val="004350FD"/>
    <w:rsid w:val="00437B14"/>
    <w:rsid w:val="00440F1F"/>
    <w:rsid w:val="00491234"/>
    <w:rsid w:val="004956DA"/>
    <w:rsid w:val="004D240E"/>
    <w:rsid w:val="00506FE3"/>
    <w:rsid w:val="00515E42"/>
    <w:rsid w:val="00540C18"/>
    <w:rsid w:val="00555248"/>
    <w:rsid w:val="00557674"/>
    <w:rsid w:val="00572EDF"/>
    <w:rsid w:val="00583BB5"/>
    <w:rsid w:val="005854CC"/>
    <w:rsid w:val="00596C3C"/>
    <w:rsid w:val="005E1321"/>
    <w:rsid w:val="005E6419"/>
    <w:rsid w:val="006207A2"/>
    <w:rsid w:val="0064527E"/>
    <w:rsid w:val="006B2F06"/>
    <w:rsid w:val="006B4484"/>
    <w:rsid w:val="006D7803"/>
    <w:rsid w:val="006E50C4"/>
    <w:rsid w:val="006F6697"/>
    <w:rsid w:val="007117B3"/>
    <w:rsid w:val="00713A44"/>
    <w:rsid w:val="0075155A"/>
    <w:rsid w:val="007528CF"/>
    <w:rsid w:val="00752D56"/>
    <w:rsid w:val="00760515"/>
    <w:rsid w:val="0076714F"/>
    <w:rsid w:val="007B367E"/>
    <w:rsid w:val="007E6BBA"/>
    <w:rsid w:val="007E7CB8"/>
    <w:rsid w:val="0082714E"/>
    <w:rsid w:val="0083009D"/>
    <w:rsid w:val="00871390"/>
    <w:rsid w:val="008812A5"/>
    <w:rsid w:val="00890E65"/>
    <w:rsid w:val="008D2C18"/>
    <w:rsid w:val="008F479E"/>
    <w:rsid w:val="008F4A62"/>
    <w:rsid w:val="00931F2D"/>
    <w:rsid w:val="009326E3"/>
    <w:rsid w:val="00952657"/>
    <w:rsid w:val="0097428D"/>
    <w:rsid w:val="00977CBC"/>
    <w:rsid w:val="009A5E1D"/>
    <w:rsid w:val="009C0913"/>
    <w:rsid w:val="009C2004"/>
    <w:rsid w:val="009C2804"/>
    <w:rsid w:val="009C5B23"/>
    <w:rsid w:val="009D5249"/>
    <w:rsid w:val="00A02B0C"/>
    <w:rsid w:val="00A10AB6"/>
    <w:rsid w:val="00A16D24"/>
    <w:rsid w:val="00A4259F"/>
    <w:rsid w:val="00A61B6A"/>
    <w:rsid w:val="00A82E76"/>
    <w:rsid w:val="00A84040"/>
    <w:rsid w:val="00A97BF6"/>
    <w:rsid w:val="00AA732D"/>
    <w:rsid w:val="00AC69C7"/>
    <w:rsid w:val="00AD2C9C"/>
    <w:rsid w:val="00AF62D5"/>
    <w:rsid w:val="00B3133E"/>
    <w:rsid w:val="00B67ADB"/>
    <w:rsid w:val="00B77EEE"/>
    <w:rsid w:val="00B834CD"/>
    <w:rsid w:val="00B95C74"/>
    <w:rsid w:val="00BA2565"/>
    <w:rsid w:val="00BE5C80"/>
    <w:rsid w:val="00BF01BB"/>
    <w:rsid w:val="00C13C80"/>
    <w:rsid w:val="00C43205"/>
    <w:rsid w:val="00C543AD"/>
    <w:rsid w:val="00C61CBE"/>
    <w:rsid w:val="00C64D46"/>
    <w:rsid w:val="00C65732"/>
    <w:rsid w:val="00C71B1F"/>
    <w:rsid w:val="00C83074"/>
    <w:rsid w:val="00CA7149"/>
    <w:rsid w:val="00CB1304"/>
    <w:rsid w:val="00CB4FF4"/>
    <w:rsid w:val="00CD782E"/>
    <w:rsid w:val="00D14091"/>
    <w:rsid w:val="00D25C4D"/>
    <w:rsid w:val="00D45EAD"/>
    <w:rsid w:val="00D540F7"/>
    <w:rsid w:val="00D671A2"/>
    <w:rsid w:val="00DA5057"/>
    <w:rsid w:val="00DD18D7"/>
    <w:rsid w:val="00DD5F3A"/>
    <w:rsid w:val="00E0475D"/>
    <w:rsid w:val="00E30D91"/>
    <w:rsid w:val="00E32F93"/>
    <w:rsid w:val="00E817A3"/>
    <w:rsid w:val="00EC5531"/>
    <w:rsid w:val="00EE3EFE"/>
    <w:rsid w:val="00EF2490"/>
    <w:rsid w:val="00EF7C99"/>
    <w:rsid w:val="00F03490"/>
    <w:rsid w:val="00F22824"/>
    <w:rsid w:val="00F2404E"/>
    <w:rsid w:val="00F347CA"/>
    <w:rsid w:val="00F42FBA"/>
    <w:rsid w:val="00F75148"/>
    <w:rsid w:val="00F92BD0"/>
    <w:rsid w:val="00FA646A"/>
    <w:rsid w:val="00FB2A55"/>
    <w:rsid w:val="00FC6396"/>
    <w:rsid w:val="00FD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2E43BF"/>
  <w15:chartTrackingRefBased/>
  <w15:docId w15:val="{80D10789-5BFF-4ED6-8A01-9075CAC8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326E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326E3"/>
    <w:rPr>
      <w:rFonts w:ascii="Calibri" w:hAnsi="Calibri"/>
      <w:noProof/>
    </w:rPr>
  </w:style>
  <w:style w:type="paragraph" w:customStyle="1" w:styleId="EndNoteBibliography">
    <w:name w:val="EndNote Bibliography"/>
    <w:basedOn w:val="Normal"/>
    <w:link w:val="EndNoteBibliographyChar"/>
    <w:rsid w:val="009326E3"/>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9326E3"/>
    <w:rPr>
      <w:rFonts w:ascii="Calibri" w:hAnsi="Calibri"/>
      <w:noProof/>
    </w:rPr>
  </w:style>
  <w:style w:type="paragraph" w:styleId="ListParagraph">
    <w:name w:val="List Paragraph"/>
    <w:basedOn w:val="Normal"/>
    <w:uiPriority w:val="34"/>
    <w:qFormat/>
    <w:rsid w:val="0031646C"/>
    <w:pPr>
      <w:ind w:left="720"/>
      <w:contextualSpacing/>
    </w:pPr>
  </w:style>
  <w:style w:type="paragraph" w:styleId="Header">
    <w:name w:val="header"/>
    <w:basedOn w:val="Normal"/>
    <w:link w:val="HeaderChar"/>
    <w:uiPriority w:val="99"/>
    <w:unhideWhenUsed/>
    <w:rsid w:val="00BE5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C80"/>
  </w:style>
  <w:style w:type="paragraph" w:styleId="Footer">
    <w:name w:val="footer"/>
    <w:basedOn w:val="Normal"/>
    <w:link w:val="FooterChar"/>
    <w:uiPriority w:val="99"/>
    <w:unhideWhenUsed/>
    <w:rsid w:val="00BE5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C80"/>
  </w:style>
  <w:style w:type="paragraph" w:styleId="FootnoteText">
    <w:name w:val="footnote text"/>
    <w:basedOn w:val="Normal"/>
    <w:link w:val="FootnoteTextChar"/>
    <w:uiPriority w:val="99"/>
    <w:semiHidden/>
    <w:unhideWhenUsed/>
    <w:rsid w:val="00CA71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149"/>
    <w:rPr>
      <w:sz w:val="20"/>
      <w:szCs w:val="20"/>
    </w:rPr>
  </w:style>
  <w:style w:type="character" w:styleId="FootnoteReference">
    <w:name w:val="footnote reference"/>
    <w:basedOn w:val="DefaultParagraphFont"/>
    <w:uiPriority w:val="99"/>
    <w:semiHidden/>
    <w:unhideWhenUsed/>
    <w:rsid w:val="00CA7149"/>
    <w:rPr>
      <w:vertAlign w:val="superscript"/>
    </w:rPr>
  </w:style>
  <w:style w:type="character" w:styleId="CommentReference">
    <w:name w:val="annotation reference"/>
    <w:basedOn w:val="DefaultParagraphFont"/>
    <w:uiPriority w:val="99"/>
    <w:semiHidden/>
    <w:unhideWhenUsed/>
    <w:rsid w:val="00CA7149"/>
    <w:rPr>
      <w:sz w:val="16"/>
      <w:szCs w:val="16"/>
    </w:rPr>
  </w:style>
  <w:style w:type="paragraph" w:styleId="CommentText">
    <w:name w:val="annotation text"/>
    <w:basedOn w:val="Normal"/>
    <w:link w:val="CommentTextChar"/>
    <w:uiPriority w:val="99"/>
    <w:semiHidden/>
    <w:unhideWhenUsed/>
    <w:rsid w:val="00CA7149"/>
    <w:pPr>
      <w:spacing w:line="240" w:lineRule="auto"/>
    </w:pPr>
    <w:rPr>
      <w:sz w:val="20"/>
      <w:szCs w:val="20"/>
    </w:rPr>
  </w:style>
  <w:style w:type="character" w:customStyle="1" w:styleId="CommentTextChar">
    <w:name w:val="Comment Text Char"/>
    <w:basedOn w:val="DefaultParagraphFont"/>
    <w:link w:val="CommentText"/>
    <w:uiPriority w:val="99"/>
    <w:semiHidden/>
    <w:rsid w:val="00CA7149"/>
    <w:rPr>
      <w:sz w:val="20"/>
      <w:szCs w:val="20"/>
    </w:rPr>
  </w:style>
  <w:style w:type="table" w:styleId="TableGrid">
    <w:name w:val="Table Grid"/>
    <w:basedOn w:val="TableNormal"/>
    <w:uiPriority w:val="39"/>
    <w:rsid w:val="00CA7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7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67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7674"/>
    <w:rPr>
      <w:b/>
      <w:bCs/>
    </w:rPr>
  </w:style>
  <w:style w:type="character" w:customStyle="1" w:styleId="CommentSubjectChar">
    <w:name w:val="Comment Subject Char"/>
    <w:basedOn w:val="CommentTextChar"/>
    <w:link w:val="CommentSubject"/>
    <w:uiPriority w:val="99"/>
    <w:semiHidden/>
    <w:rsid w:val="00557674"/>
    <w:rPr>
      <w:b/>
      <w:bCs/>
      <w:sz w:val="20"/>
      <w:szCs w:val="20"/>
    </w:rPr>
  </w:style>
  <w:style w:type="character" w:styleId="Emphasis">
    <w:name w:val="Emphasis"/>
    <w:basedOn w:val="DefaultParagraphFont"/>
    <w:uiPriority w:val="20"/>
    <w:qFormat/>
    <w:rsid w:val="00D671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99606">
      <w:bodyDiv w:val="1"/>
      <w:marLeft w:val="0"/>
      <w:marRight w:val="0"/>
      <w:marTop w:val="0"/>
      <w:marBottom w:val="0"/>
      <w:divBdr>
        <w:top w:val="none" w:sz="0" w:space="0" w:color="auto"/>
        <w:left w:val="none" w:sz="0" w:space="0" w:color="auto"/>
        <w:bottom w:val="none" w:sz="0" w:space="0" w:color="auto"/>
        <w:right w:val="none" w:sz="0" w:space="0" w:color="auto"/>
      </w:divBdr>
    </w:div>
    <w:div w:id="1801337491">
      <w:bodyDiv w:val="1"/>
      <w:marLeft w:val="0"/>
      <w:marRight w:val="0"/>
      <w:marTop w:val="0"/>
      <w:marBottom w:val="0"/>
      <w:divBdr>
        <w:top w:val="none" w:sz="0" w:space="0" w:color="auto"/>
        <w:left w:val="none" w:sz="0" w:space="0" w:color="auto"/>
        <w:bottom w:val="none" w:sz="0" w:space="0" w:color="auto"/>
        <w:right w:val="none" w:sz="0" w:space="0" w:color="auto"/>
      </w:divBdr>
      <w:divsChild>
        <w:div w:id="27608545">
          <w:marLeft w:val="547"/>
          <w:marRight w:val="0"/>
          <w:marTop w:val="0"/>
          <w:marBottom w:val="0"/>
          <w:divBdr>
            <w:top w:val="none" w:sz="0" w:space="0" w:color="auto"/>
            <w:left w:val="none" w:sz="0" w:space="0" w:color="auto"/>
            <w:bottom w:val="none" w:sz="0" w:space="0" w:color="auto"/>
            <w:right w:val="none" w:sz="0" w:space="0" w:color="auto"/>
          </w:divBdr>
        </w:div>
      </w:divsChild>
    </w:div>
    <w:div w:id="2037924476">
      <w:bodyDiv w:val="1"/>
      <w:marLeft w:val="0"/>
      <w:marRight w:val="0"/>
      <w:marTop w:val="0"/>
      <w:marBottom w:val="0"/>
      <w:divBdr>
        <w:top w:val="none" w:sz="0" w:space="0" w:color="auto"/>
        <w:left w:val="none" w:sz="0" w:space="0" w:color="auto"/>
        <w:bottom w:val="none" w:sz="0" w:space="0" w:color="auto"/>
        <w:right w:val="none" w:sz="0" w:space="0" w:color="auto"/>
      </w:divBdr>
      <w:divsChild>
        <w:div w:id="348917827">
          <w:marLeft w:val="0"/>
          <w:marRight w:val="0"/>
          <w:marTop w:val="0"/>
          <w:marBottom w:val="0"/>
          <w:divBdr>
            <w:top w:val="none" w:sz="0" w:space="0" w:color="auto"/>
            <w:left w:val="none" w:sz="0" w:space="0" w:color="auto"/>
            <w:bottom w:val="none" w:sz="0" w:space="0" w:color="auto"/>
            <w:right w:val="none" w:sz="0" w:space="0" w:color="auto"/>
          </w:divBdr>
          <w:divsChild>
            <w:div w:id="1007366535">
              <w:marLeft w:val="240"/>
              <w:marRight w:val="360"/>
              <w:marTop w:val="240"/>
              <w:marBottom w:val="480"/>
              <w:divBdr>
                <w:top w:val="none" w:sz="0" w:space="0" w:color="auto"/>
                <w:left w:val="none" w:sz="0" w:space="0" w:color="auto"/>
                <w:bottom w:val="none" w:sz="0" w:space="0" w:color="auto"/>
                <w:right w:val="none" w:sz="0" w:space="0" w:color="auto"/>
              </w:divBdr>
              <w:divsChild>
                <w:div w:id="1329674792">
                  <w:marLeft w:val="0"/>
                  <w:marRight w:val="0"/>
                  <w:marTop w:val="0"/>
                  <w:marBottom w:val="0"/>
                  <w:divBdr>
                    <w:top w:val="single" w:sz="24" w:space="5" w:color="000000"/>
                    <w:left w:val="none" w:sz="0" w:space="0" w:color="auto"/>
                    <w:bottom w:val="none" w:sz="0" w:space="0" w:color="auto"/>
                    <w:right w:val="none" w:sz="0" w:space="0" w:color="auto"/>
                  </w:divBdr>
                  <w:divsChild>
                    <w:div w:id="2103528829">
                      <w:marLeft w:val="0"/>
                      <w:marRight w:val="0"/>
                      <w:marTop w:val="0"/>
                      <w:marBottom w:val="0"/>
                      <w:divBdr>
                        <w:top w:val="none" w:sz="0" w:space="0" w:color="auto"/>
                        <w:left w:val="none" w:sz="0" w:space="0" w:color="auto"/>
                        <w:bottom w:val="none" w:sz="0" w:space="0" w:color="auto"/>
                        <w:right w:val="none" w:sz="0" w:space="0" w:color="auto"/>
                      </w:divBdr>
                      <w:divsChild>
                        <w:div w:id="589848559">
                          <w:marLeft w:val="0"/>
                          <w:marRight w:val="0"/>
                          <w:marTop w:val="0"/>
                          <w:marBottom w:val="0"/>
                          <w:divBdr>
                            <w:top w:val="none" w:sz="0" w:space="0" w:color="auto"/>
                            <w:left w:val="none" w:sz="0" w:space="0" w:color="auto"/>
                            <w:bottom w:val="none" w:sz="0" w:space="0" w:color="auto"/>
                            <w:right w:val="none" w:sz="0" w:space="0" w:color="auto"/>
                          </w:divBdr>
                        </w:div>
                      </w:divsChild>
                    </w:div>
                    <w:div w:id="1003708081">
                      <w:marLeft w:val="0"/>
                      <w:marRight w:val="0"/>
                      <w:marTop w:val="0"/>
                      <w:marBottom w:val="0"/>
                      <w:divBdr>
                        <w:top w:val="none" w:sz="0" w:space="0" w:color="auto"/>
                        <w:left w:val="none" w:sz="0" w:space="0" w:color="auto"/>
                        <w:bottom w:val="none" w:sz="0" w:space="0" w:color="auto"/>
                        <w:right w:val="none" w:sz="0" w:space="0" w:color="auto"/>
                      </w:divBdr>
                      <w:divsChild>
                        <w:div w:id="1399940090">
                          <w:marLeft w:val="0"/>
                          <w:marRight w:val="0"/>
                          <w:marTop w:val="0"/>
                          <w:marBottom w:val="0"/>
                          <w:divBdr>
                            <w:top w:val="none" w:sz="0" w:space="0" w:color="auto"/>
                            <w:left w:val="none" w:sz="0" w:space="0" w:color="auto"/>
                            <w:bottom w:val="none" w:sz="0" w:space="0" w:color="auto"/>
                            <w:right w:val="none" w:sz="0" w:space="0" w:color="auto"/>
                          </w:divBdr>
                        </w:div>
                        <w:div w:id="171185158">
                          <w:marLeft w:val="0"/>
                          <w:marRight w:val="0"/>
                          <w:marTop w:val="0"/>
                          <w:marBottom w:val="0"/>
                          <w:divBdr>
                            <w:top w:val="none" w:sz="0" w:space="0" w:color="auto"/>
                            <w:left w:val="none" w:sz="0" w:space="0" w:color="auto"/>
                            <w:bottom w:val="none" w:sz="0" w:space="0" w:color="auto"/>
                            <w:right w:val="none" w:sz="0" w:space="0" w:color="auto"/>
                          </w:divBdr>
                        </w:div>
                      </w:divsChild>
                    </w:div>
                    <w:div w:id="418252349">
                      <w:marLeft w:val="0"/>
                      <w:marRight w:val="0"/>
                      <w:marTop w:val="0"/>
                      <w:marBottom w:val="0"/>
                      <w:divBdr>
                        <w:top w:val="none" w:sz="0" w:space="0" w:color="auto"/>
                        <w:left w:val="none" w:sz="0" w:space="0" w:color="auto"/>
                        <w:bottom w:val="none" w:sz="0" w:space="0" w:color="auto"/>
                        <w:right w:val="none" w:sz="0" w:space="0" w:color="auto"/>
                      </w:divBdr>
                      <w:divsChild>
                        <w:div w:id="1441955158">
                          <w:marLeft w:val="0"/>
                          <w:marRight w:val="0"/>
                          <w:marTop w:val="0"/>
                          <w:marBottom w:val="0"/>
                          <w:divBdr>
                            <w:top w:val="none" w:sz="0" w:space="0" w:color="auto"/>
                            <w:left w:val="none" w:sz="0" w:space="0" w:color="auto"/>
                            <w:bottom w:val="none" w:sz="0" w:space="0" w:color="auto"/>
                            <w:right w:val="none" w:sz="0" w:space="0" w:color="auto"/>
                          </w:divBdr>
                        </w:div>
                        <w:div w:id="19151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BC8CD0E37E04FA176C20E0D60EF51" ma:contentTypeVersion="10" ma:contentTypeDescription="Create a new document." ma:contentTypeScope="" ma:versionID="0989f1cc3be3835ab830778525e326bf">
  <xsd:schema xmlns:xsd="http://www.w3.org/2001/XMLSchema" xmlns:xs="http://www.w3.org/2001/XMLSchema" xmlns:p="http://schemas.microsoft.com/office/2006/metadata/properties" xmlns:ns3="003563ab-cf3b-458c-a63f-715e1c27bc71" targetNamespace="http://schemas.microsoft.com/office/2006/metadata/properties" ma:root="true" ma:fieldsID="9f337ed73a8f3e8ab7cef8d6e251b7ea" ns3:_="">
    <xsd:import namespace="003563ab-cf3b-458c-a63f-715e1c27bc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563ab-cf3b-458c-a63f-715e1c27b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2FA4F-56EF-4EF2-BC1F-E5BD14ED61EE}">
  <ds:schemaRefs>
    <ds:schemaRef ds:uri="003563ab-cf3b-458c-a63f-715e1c27bc7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8E82CEE7-AAF6-43D2-821B-A2F550BF82EC}">
  <ds:schemaRefs>
    <ds:schemaRef ds:uri="http://schemas.microsoft.com/sharepoint/v3/contenttype/forms"/>
  </ds:schemaRefs>
</ds:datastoreItem>
</file>

<file path=customXml/itemProps3.xml><?xml version="1.0" encoding="utf-8"?>
<ds:datastoreItem xmlns:ds="http://schemas.openxmlformats.org/officeDocument/2006/customXml" ds:itemID="{DEB3095B-CE28-490A-93BD-433F5682E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563ab-cf3b-458c-a63f-715e1c27b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A0157-A9E3-4B99-BBF5-DF1811B1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Zeidner, Joshua F</dc:creator>
  <cp:keywords/>
  <dc:description/>
  <cp:lastModifiedBy>Buhlinger, Kaitlyn</cp:lastModifiedBy>
  <cp:revision>5</cp:revision>
  <dcterms:created xsi:type="dcterms:W3CDTF">2021-04-16T16:47:00Z</dcterms:created>
  <dcterms:modified xsi:type="dcterms:W3CDTF">2021-04-16T20:27:00Z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1247803</vt:lpwstr>
  </property>
  <property fmtid="{D5CDD505-2E9C-101B-9397-08002B2CF9AE}" pid="3" name="ProjectId">
    <vt:lpwstr>0</vt:lpwstr>
  </property>
  <property fmtid="{D5CDD505-2E9C-101B-9397-08002B2CF9AE}" pid="4" name="InsertAsFootnote">
    <vt:lpwstr>False</vt:lpwstr>
  </property>
  <property fmtid="{D5CDD505-2E9C-101B-9397-08002B2CF9AE}" pid="5" name="StyleId">
    <vt:lpwstr>http://www.zotero.org/styles/vancouver</vt:lpwstr>
  </property>
  <property fmtid="{D5CDD505-2E9C-101B-9397-08002B2CF9AE}" pid="6" name="ContentTypeId">
    <vt:lpwstr>0x0101006A0BC8CD0E37E04FA176C20E0D60EF51</vt:lpwstr>
  </property>
</Properties>
</file>